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523D82" w:rsidRPr="002E17FD" w14:paraId="70EF2AE3" w14:textId="77777777" w:rsidTr="00D25CB4">
        <w:tc>
          <w:tcPr>
            <w:tcW w:w="4786" w:type="dxa"/>
            <w:hideMark/>
          </w:tcPr>
          <w:p w14:paraId="53D7A2E4" w14:textId="77777777" w:rsidR="007E1D85" w:rsidRPr="00A63448" w:rsidRDefault="007E1D85" w:rsidP="009561FD">
            <w:pPr>
              <w:widowControl w:val="0"/>
              <w:spacing w:after="0" w:line="240" w:lineRule="auto"/>
              <w:ind w:hanging="142"/>
              <w:rPr>
                <w:rFonts w:ascii="Times New Roman" w:eastAsia="Batang" w:hAnsi="Times New Roman"/>
                <w:snapToGrid w:val="0"/>
                <w:sz w:val="24"/>
                <w:szCs w:val="24"/>
                <w:lang w:val="en-US" w:eastAsia="ru-RU"/>
              </w:rPr>
            </w:pPr>
          </w:p>
        </w:tc>
        <w:tc>
          <w:tcPr>
            <w:tcW w:w="4536" w:type="dxa"/>
            <w:hideMark/>
          </w:tcPr>
          <w:p w14:paraId="1290F18D" w14:textId="77777777" w:rsidR="00523D82" w:rsidRPr="002E17FD" w:rsidRDefault="00523D82" w:rsidP="0078568D">
            <w:pPr>
              <w:widowControl w:val="0"/>
              <w:spacing w:after="0" w:line="240" w:lineRule="auto"/>
              <w:rPr>
                <w:rFonts w:ascii="Times New Roman" w:eastAsia="Times New Roman" w:hAnsi="Times New Roman"/>
                <w:b/>
                <w:snapToGrid w:val="0"/>
                <w:sz w:val="24"/>
                <w:szCs w:val="24"/>
                <w:lang w:eastAsia="ru-RU"/>
              </w:rPr>
            </w:pPr>
            <w:r w:rsidRPr="002E17FD">
              <w:rPr>
                <w:rFonts w:ascii="Times New Roman" w:eastAsia="Times New Roman" w:hAnsi="Times New Roman"/>
                <w:b/>
                <w:snapToGrid w:val="0"/>
                <w:sz w:val="24"/>
                <w:szCs w:val="24"/>
                <w:lang w:eastAsia="ru-RU"/>
              </w:rPr>
              <w:t>УТВЕРЖДЕНА</w:t>
            </w:r>
          </w:p>
          <w:p w14:paraId="5D8F7734" w14:textId="77777777" w:rsidR="00653617" w:rsidRPr="002E17FD" w:rsidRDefault="00523D82" w:rsidP="0078568D">
            <w:pPr>
              <w:autoSpaceDE w:val="0"/>
              <w:autoSpaceDN w:val="0"/>
              <w:spacing w:after="0" w:line="240" w:lineRule="auto"/>
              <w:rPr>
                <w:rFonts w:ascii="Times New Roman" w:eastAsia="Times New Roman" w:hAnsi="Times New Roman"/>
                <w:sz w:val="24"/>
                <w:szCs w:val="24"/>
                <w:lang w:eastAsia="ru-RU"/>
              </w:rPr>
            </w:pPr>
            <w:r w:rsidRPr="002E17FD">
              <w:rPr>
                <w:rFonts w:ascii="Times New Roman" w:eastAsia="Times New Roman" w:hAnsi="Times New Roman"/>
                <w:sz w:val="24"/>
                <w:szCs w:val="24"/>
                <w:lang w:eastAsia="ru-RU"/>
              </w:rPr>
              <w:t xml:space="preserve">Приказом </w:t>
            </w:r>
            <w:r w:rsidR="004C462F" w:rsidRPr="002E17FD">
              <w:rPr>
                <w:rFonts w:ascii="Times New Roman" w:eastAsia="Times New Roman" w:hAnsi="Times New Roman"/>
                <w:sz w:val="24"/>
                <w:szCs w:val="24"/>
                <w:lang w:eastAsia="ru-RU"/>
              </w:rPr>
              <w:t>П</w:t>
            </w:r>
            <w:r w:rsidRPr="002E17FD">
              <w:rPr>
                <w:rFonts w:ascii="Times New Roman" w:eastAsia="Times New Roman" w:hAnsi="Times New Roman"/>
                <w:sz w:val="24"/>
                <w:szCs w:val="24"/>
                <w:lang w:eastAsia="ru-RU"/>
              </w:rPr>
              <w:t xml:space="preserve">редседателя </w:t>
            </w:r>
          </w:p>
          <w:p w14:paraId="63DCDC95" w14:textId="77777777" w:rsidR="00523D82" w:rsidRPr="002E17FD" w:rsidRDefault="00264A6E" w:rsidP="0078568D">
            <w:pPr>
              <w:autoSpaceDE w:val="0"/>
              <w:autoSpaceDN w:val="0"/>
              <w:spacing w:after="0" w:line="240" w:lineRule="auto"/>
              <w:rPr>
                <w:rFonts w:ascii="Times New Roman" w:eastAsia="Times New Roman" w:hAnsi="Times New Roman"/>
                <w:sz w:val="24"/>
                <w:szCs w:val="24"/>
                <w:lang w:eastAsia="ru-RU"/>
              </w:rPr>
            </w:pPr>
            <w:r w:rsidRPr="002E17FD">
              <w:rPr>
                <w:rFonts w:ascii="Times New Roman" w:eastAsia="Times New Roman" w:hAnsi="Times New Roman"/>
                <w:sz w:val="24"/>
                <w:szCs w:val="24"/>
                <w:lang w:eastAsia="ru-RU"/>
              </w:rPr>
              <w:t>РГУ «</w:t>
            </w:r>
            <w:r w:rsidR="00523D82" w:rsidRPr="002E17FD">
              <w:rPr>
                <w:rFonts w:ascii="Times New Roman" w:eastAsia="Times New Roman" w:hAnsi="Times New Roman"/>
                <w:sz w:val="24"/>
                <w:szCs w:val="24"/>
                <w:lang w:eastAsia="ru-RU"/>
              </w:rPr>
              <w:t xml:space="preserve">Комитет </w:t>
            </w:r>
            <w:r w:rsidR="00944B87" w:rsidRPr="002E17FD">
              <w:rPr>
                <w:rFonts w:ascii="Times New Roman" w:eastAsia="Times New Roman" w:hAnsi="Times New Roman"/>
                <w:sz w:val="24"/>
                <w:szCs w:val="24"/>
                <w:lang w:eastAsia="ru-RU"/>
              </w:rPr>
              <w:t>медицинского и фармацевтического контроля</w:t>
            </w:r>
          </w:p>
          <w:p w14:paraId="2B07200A" w14:textId="77777777" w:rsidR="00523D82" w:rsidRPr="002E17FD" w:rsidRDefault="00523D82" w:rsidP="0078568D">
            <w:pPr>
              <w:keepNext/>
              <w:autoSpaceDE w:val="0"/>
              <w:autoSpaceDN w:val="0"/>
              <w:spacing w:after="0" w:line="240" w:lineRule="auto"/>
              <w:outlineLvl w:val="2"/>
              <w:rPr>
                <w:rFonts w:ascii="Times New Roman" w:eastAsia="Times New Roman" w:hAnsi="Times New Roman"/>
                <w:bCs/>
                <w:sz w:val="24"/>
                <w:szCs w:val="24"/>
                <w:lang w:val="uk-UA" w:eastAsia="ru-RU"/>
              </w:rPr>
            </w:pPr>
            <w:r w:rsidRPr="002E17FD">
              <w:rPr>
                <w:rFonts w:ascii="Times New Roman" w:eastAsia="Times New Roman" w:hAnsi="Times New Roman"/>
                <w:bCs/>
                <w:sz w:val="24"/>
                <w:szCs w:val="24"/>
                <w:lang w:eastAsia="ru-RU"/>
              </w:rPr>
              <w:t>Министерства здравоохранения</w:t>
            </w:r>
            <w:r w:rsidRPr="002E17FD">
              <w:rPr>
                <w:rFonts w:ascii="Times New Roman" w:eastAsia="Times New Roman" w:hAnsi="Times New Roman"/>
                <w:bCs/>
                <w:sz w:val="24"/>
                <w:szCs w:val="24"/>
                <w:lang w:val="uk-UA" w:eastAsia="ru-RU"/>
              </w:rPr>
              <w:t xml:space="preserve"> </w:t>
            </w:r>
          </w:p>
          <w:p w14:paraId="4B64E64A" w14:textId="77777777" w:rsidR="00523D82" w:rsidRPr="002E17FD" w:rsidRDefault="00523D82" w:rsidP="0078568D">
            <w:pPr>
              <w:keepNext/>
              <w:autoSpaceDE w:val="0"/>
              <w:autoSpaceDN w:val="0"/>
              <w:spacing w:after="0" w:line="240" w:lineRule="auto"/>
              <w:outlineLvl w:val="3"/>
              <w:rPr>
                <w:rFonts w:ascii="Times New Roman" w:eastAsia="Times New Roman" w:hAnsi="Times New Roman"/>
                <w:bCs/>
                <w:sz w:val="24"/>
                <w:szCs w:val="24"/>
                <w:lang w:eastAsia="ru-RU"/>
              </w:rPr>
            </w:pPr>
            <w:r w:rsidRPr="002E17FD">
              <w:rPr>
                <w:rFonts w:ascii="Times New Roman" w:eastAsia="Times New Roman" w:hAnsi="Times New Roman"/>
                <w:bCs/>
                <w:sz w:val="24"/>
                <w:szCs w:val="24"/>
                <w:lang w:eastAsia="ru-RU"/>
              </w:rPr>
              <w:t>Республики Казахстан</w:t>
            </w:r>
            <w:r w:rsidR="00C90EC4" w:rsidRPr="002E17FD">
              <w:rPr>
                <w:rFonts w:ascii="Times New Roman" w:eastAsia="Times New Roman" w:hAnsi="Times New Roman"/>
                <w:bCs/>
                <w:sz w:val="24"/>
                <w:szCs w:val="24"/>
                <w:lang w:eastAsia="ru-RU"/>
              </w:rPr>
              <w:t>»</w:t>
            </w:r>
          </w:p>
          <w:p w14:paraId="78E389BC" w14:textId="4E5491E0" w:rsidR="00523D82" w:rsidRPr="002E17FD" w:rsidRDefault="00523D82" w:rsidP="0078568D">
            <w:pPr>
              <w:autoSpaceDE w:val="0"/>
              <w:autoSpaceDN w:val="0"/>
              <w:spacing w:after="0" w:line="240" w:lineRule="auto"/>
              <w:rPr>
                <w:rFonts w:ascii="Times New Roman" w:eastAsia="Times New Roman" w:hAnsi="Times New Roman"/>
                <w:sz w:val="24"/>
                <w:szCs w:val="24"/>
                <w:lang w:eastAsia="ru-RU"/>
              </w:rPr>
            </w:pPr>
            <w:r w:rsidRPr="002E17FD">
              <w:rPr>
                <w:rFonts w:ascii="Times New Roman" w:eastAsia="Times New Roman" w:hAnsi="Times New Roman"/>
                <w:sz w:val="24"/>
                <w:szCs w:val="24"/>
                <w:lang w:eastAsia="ru-RU"/>
              </w:rPr>
              <w:t>от «</w:t>
            </w:r>
            <w:r w:rsidR="007F64FE" w:rsidRPr="00B872F3">
              <w:rPr>
                <w:rFonts w:ascii="Times New Roman" w:eastAsia="Times New Roman" w:hAnsi="Times New Roman"/>
                <w:sz w:val="24"/>
                <w:szCs w:val="24"/>
                <w:lang w:eastAsia="ru-RU"/>
              </w:rPr>
              <w:t>25</w:t>
            </w:r>
            <w:r w:rsidRPr="002E17FD">
              <w:rPr>
                <w:rFonts w:ascii="Times New Roman" w:eastAsia="Times New Roman" w:hAnsi="Times New Roman"/>
                <w:sz w:val="24"/>
                <w:szCs w:val="24"/>
                <w:lang w:eastAsia="ru-RU"/>
              </w:rPr>
              <w:t>»</w:t>
            </w:r>
            <w:r w:rsidR="007F64FE" w:rsidRPr="00B872F3">
              <w:rPr>
                <w:rFonts w:ascii="Times New Roman" w:eastAsia="Times New Roman" w:hAnsi="Times New Roman"/>
                <w:sz w:val="24"/>
                <w:szCs w:val="24"/>
                <w:lang w:eastAsia="ru-RU"/>
              </w:rPr>
              <w:t xml:space="preserve">   07    </w:t>
            </w:r>
            <w:r w:rsidRPr="002E17FD">
              <w:rPr>
                <w:rFonts w:ascii="Times New Roman" w:eastAsia="Times New Roman" w:hAnsi="Times New Roman"/>
                <w:sz w:val="24"/>
                <w:szCs w:val="24"/>
                <w:lang w:eastAsia="ru-RU"/>
              </w:rPr>
              <w:t>20</w:t>
            </w:r>
            <w:r w:rsidR="007F64FE" w:rsidRPr="00B872F3">
              <w:rPr>
                <w:rFonts w:ascii="Times New Roman" w:eastAsia="Times New Roman" w:hAnsi="Times New Roman"/>
                <w:sz w:val="24"/>
                <w:szCs w:val="24"/>
                <w:lang w:eastAsia="ru-RU"/>
              </w:rPr>
              <w:t xml:space="preserve">25 </w:t>
            </w:r>
            <w:r w:rsidRPr="002E17FD">
              <w:rPr>
                <w:rFonts w:ascii="Times New Roman" w:eastAsia="Times New Roman" w:hAnsi="Times New Roman"/>
                <w:sz w:val="24"/>
                <w:szCs w:val="24"/>
                <w:lang w:eastAsia="ru-RU"/>
              </w:rPr>
              <w:t>г.</w:t>
            </w:r>
          </w:p>
          <w:p w14:paraId="4C27DDDE" w14:textId="31488E76" w:rsidR="00523D82" w:rsidRPr="007F64FE" w:rsidRDefault="00523D82" w:rsidP="0078568D">
            <w:pPr>
              <w:widowControl w:val="0"/>
              <w:spacing w:after="0" w:line="240" w:lineRule="auto"/>
              <w:rPr>
                <w:rFonts w:ascii="Times New Roman" w:eastAsia="Batang" w:hAnsi="Times New Roman"/>
                <w:snapToGrid w:val="0"/>
                <w:sz w:val="24"/>
                <w:szCs w:val="24"/>
                <w:lang w:val="en-US" w:eastAsia="ru-RU"/>
              </w:rPr>
            </w:pPr>
            <w:r w:rsidRPr="002E17FD">
              <w:rPr>
                <w:rFonts w:ascii="Times New Roman" w:eastAsia="Times New Roman" w:hAnsi="Times New Roman"/>
                <w:snapToGrid w:val="0"/>
                <w:sz w:val="24"/>
                <w:szCs w:val="24"/>
                <w:lang w:eastAsia="ru-RU"/>
              </w:rPr>
              <w:t>№</w:t>
            </w:r>
            <w:r w:rsidR="007F64FE">
              <w:rPr>
                <w:rFonts w:ascii="Times New Roman" w:eastAsia="Times New Roman" w:hAnsi="Times New Roman"/>
                <w:snapToGrid w:val="0"/>
                <w:sz w:val="24"/>
                <w:szCs w:val="24"/>
                <w:lang w:val="en-US" w:eastAsia="ru-RU"/>
              </w:rPr>
              <w:t>N087710</w:t>
            </w:r>
          </w:p>
        </w:tc>
        <w:tc>
          <w:tcPr>
            <w:tcW w:w="4536" w:type="dxa"/>
          </w:tcPr>
          <w:p w14:paraId="30776F22" w14:textId="77777777" w:rsidR="00523D82" w:rsidRPr="002E17FD" w:rsidRDefault="00D46B0B" w:rsidP="0078568D">
            <w:pPr>
              <w:widowControl w:val="0"/>
              <w:spacing w:after="0" w:line="240" w:lineRule="auto"/>
              <w:jc w:val="center"/>
              <w:rPr>
                <w:rFonts w:ascii="Times New Roman" w:eastAsia="Times New Roman" w:hAnsi="Times New Roman"/>
                <w:b/>
                <w:snapToGrid w:val="0"/>
                <w:sz w:val="24"/>
                <w:szCs w:val="24"/>
                <w:lang w:eastAsia="ru-RU"/>
              </w:rPr>
            </w:pPr>
            <w:r w:rsidRPr="002E17FD">
              <w:rPr>
                <w:rFonts w:ascii="Times New Roman" w:eastAsia="Times New Roman" w:hAnsi="Times New Roman"/>
                <w:b/>
                <w:snapToGrid w:val="0"/>
                <w:sz w:val="24"/>
                <w:szCs w:val="24"/>
                <w:lang w:eastAsia="ru-RU"/>
              </w:rPr>
              <w:t xml:space="preserve"> </w:t>
            </w:r>
          </w:p>
        </w:tc>
      </w:tr>
      <w:tr w:rsidR="00523D82" w:rsidRPr="002E17FD" w14:paraId="46E1A213" w14:textId="77777777" w:rsidTr="00D25CB4">
        <w:tc>
          <w:tcPr>
            <w:tcW w:w="4786" w:type="dxa"/>
          </w:tcPr>
          <w:p w14:paraId="224D47DE" w14:textId="77777777" w:rsidR="00523D82" w:rsidRPr="002E17FD" w:rsidRDefault="00523D82" w:rsidP="0078568D">
            <w:pPr>
              <w:widowControl w:val="0"/>
              <w:spacing w:after="0" w:line="240" w:lineRule="auto"/>
              <w:rPr>
                <w:rFonts w:ascii="Times New Roman" w:eastAsia="Batang" w:hAnsi="Times New Roman"/>
                <w:sz w:val="24"/>
                <w:szCs w:val="24"/>
                <w:lang w:eastAsia="ru-RU"/>
              </w:rPr>
            </w:pPr>
          </w:p>
        </w:tc>
        <w:tc>
          <w:tcPr>
            <w:tcW w:w="4536" w:type="dxa"/>
          </w:tcPr>
          <w:p w14:paraId="09CADDCD" w14:textId="77777777" w:rsidR="00523D82" w:rsidRPr="002E17FD" w:rsidRDefault="00523D82" w:rsidP="0078568D">
            <w:pPr>
              <w:autoSpaceDE w:val="0"/>
              <w:autoSpaceDN w:val="0"/>
              <w:spacing w:after="0" w:line="240" w:lineRule="auto"/>
              <w:rPr>
                <w:rFonts w:ascii="Times New Roman" w:eastAsia="Batang" w:hAnsi="Times New Roman"/>
                <w:sz w:val="24"/>
                <w:szCs w:val="24"/>
                <w:lang w:eastAsia="ru-RU"/>
              </w:rPr>
            </w:pPr>
          </w:p>
        </w:tc>
        <w:tc>
          <w:tcPr>
            <w:tcW w:w="4536" w:type="dxa"/>
          </w:tcPr>
          <w:p w14:paraId="46ABC642" w14:textId="77777777" w:rsidR="00523D82" w:rsidRPr="002E17FD"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14:paraId="59139369" w14:textId="77777777" w:rsidR="00280121" w:rsidRPr="002E17FD" w:rsidRDefault="00280121" w:rsidP="006A4DC8">
      <w:pPr>
        <w:autoSpaceDE w:val="0"/>
        <w:autoSpaceDN w:val="0"/>
        <w:spacing w:after="0" w:line="240" w:lineRule="auto"/>
        <w:rPr>
          <w:rFonts w:ascii="Times New Roman" w:eastAsia="Times New Roman" w:hAnsi="Times New Roman"/>
          <w:b/>
          <w:sz w:val="24"/>
          <w:szCs w:val="24"/>
          <w:lang w:eastAsia="ru-RU"/>
        </w:rPr>
      </w:pPr>
    </w:p>
    <w:p w14:paraId="5F0AFB2F" w14:textId="77777777" w:rsidR="00D76048" w:rsidRPr="002E17FD" w:rsidRDefault="00506C9D" w:rsidP="0078568D">
      <w:pPr>
        <w:autoSpaceDE w:val="0"/>
        <w:autoSpaceDN w:val="0"/>
        <w:spacing w:after="0" w:line="240" w:lineRule="auto"/>
        <w:jc w:val="center"/>
        <w:rPr>
          <w:rFonts w:ascii="Times New Roman" w:eastAsia="Times New Roman" w:hAnsi="Times New Roman"/>
          <w:b/>
          <w:sz w:val="24"/>
          <w:szCs w:val="24"/>
          <w:lang w:eastAsia="ru-RU"/>
        </w:rPr>
      </w:pPr>
      <w:r w:rsidRPr="002E17FD">
        <w:rPr>
          <w:rFonts w:ascii="Times New Roman" w:eastAsia="Times New Roman" w:hAnsi="Times New Roman"/>
          <w:b/>
          <w:sz w:val="24"/>
          <w:szCs w:val="24"/>
          <w:lang w:eastAsia="ru-RU"/>
        </w:rPr>
        <w:t>ОБЩАЯ ХАРАКТЕРИСТИКА ЛЕКАРСТВЕННОГО ПРЕПАРАТА</w:t>
      </w:r>
    </w:p>
    <w:p w14:paraId="43532453" w14:textId="77777777" w:rsidR="00372082" w:rsidRPr="002E17FD" w:rsidRDefault="00372082" w:rsidP="0078568D">
      <w:pPr>
        <w:autoSpaceDE w:val="0"/>
        <w:autoSpaceDN w:val="0"/>
        <w:spacing w:after="0" w:line="240" w:lineRule="auto"/>
        <w:jc w:val="both"/>
        <w:rPr>
          <w:rFonts w:ascii="Times New Roman" w:eastAsia="Times New Roman" w:hAnsi="Times New Roman"/>
          <w:b/>
          <w:sz w:val="24"/>
          <w:szCs w:val="24"/>
          <w:lang w:eastAsia="ru-RU"/>
        </w:rPr>
      </w:pPr>
    </w:p>
    <w:p w14:paraId="67A54D5B" w14:textId="77777777" w:rsidR="00280121" w:rsidRPr="002E17FD" w:rsidRDefault="00DB406A" w:rsidP="0078568D">
      <w:pPr>
        <w:autoSpaceDE w:val="0"/>
        <w:autoSpaceDN w:val="0"/>
        <w:spacing w:after="0" w:line="240" w:lineRule="auto"/>
        <w:jc w:val="both"/>
        <w:rPr>
          <w:rFonts w:ascii="Times New Roman" w:eastAsia="Times New Roman" w:hAnsi="Times New Roman"/>
          <w:b/>
          <w:sz w:val="24"/>
          <w:szCs w:val="24"/>
          <w:lang w:eastAsia="ru-RU"/>
        </w:rPr>
      </w:pPr>
      <w:r w:rsidRPr="002E17FD">
        <w:rPr>
          <w:rFonts w:ascii="Times New Roman" w:eastAsia="Times New Roman" w:hAnsi="Times New Roman"/>
          <w:b/>
          <w:sz w:val="24"/>
          <w:szCs w:val="24"/>
          <w:lang w:eastAsia="ru-RU"/>
        </w:rPr>
        <w:t xml:space="preserve">1. </w:t>
      </w:r>
      <w:r w:rsidR="00280121" w:rsidRPr="002E17FD">
        <w:rPr>
          <w:rFonts w:ascii="Times New Roman" w:eastAsia="Times New Roman" w:hAnsi="Times New Roman" w:hint="eastAsia"/>
          <w:b/>
          <w:sz w:val="24"/>
          <w:szCs w:val="24"/>
          <w:lang w:eastAsia="ru-RU"/>
        </w:rPr>
        <w:t>НАИМЕНОВАНИЕ</w:t>
      </w:r>
      <w:r w:rsidR="00280121" w:rsidRPr="002E17FD">
        <w:rPr>
          <w:rFonts w:ascii="Times New Roman" w:eastAsia="Times New Roman" w:hAnsi="Times New Roman"/>
          <w:b/>
          <w:sz w:val="24"/>
          <w:szCs w:val="24"/>
          <w:lang w:eastAsia="ru-RU"/>
        </w:rPr>
        <w:t xml:space="preserve"> </w:t>
      </w:r>
      <w:r w:rsidR="00280121" w:rsidRPr="002E17FD">
        <w:rPr>
          <w:rFonts w:ascii="Times New Roman" w:eastAsia="Times New Roman" w:hAnsi="Times New Roman" w:hint="eastAsia"/>
          <w:b/>
          <w:sz w:val="24"/>
          <w:szCs w:val="24"/>
          <w:lang w:eastAsia="ru-RU"/>
        </w:rPr>
        <w:t>ЛЕКАРСТВЕННОГО</w:t>
      </w:r>
      <w:r w:rsidR="00280121" w:rsidRPr="002E17FD">
        <w:rPr>
          <w:rFonts w:ascii="Times New Roman" w:eastAsia="Times New Roman" w:hAnsi="Times New Roman"/>
          <w:b/>
          <w:sz w:val="24"/>
          <w:szCs w:val="24"/>
          <w:lang w:eastAsia="ru-RU"/>
        </w:rPr>
        <w:t xml:space="preserve"> </w:t>
      </w:r>
      <w:r w:rsidR="00280121" w:rsidRPr="002E17FD">
        <w:rPr>
          <w:rFonts w:ascii="Times New Roman" w:eastAsia="Times New Roman" w:hAnsi="Times New Roman" w:hint="eastAsia"/>
          <w:b/>
          <w:sz w:val="24"/>
          <w:szCs w:val="24"/>
          <w:lang w:eastAsia="ru-RU"/>
        </w:rPr>
        <w:t>ПРЕПАРАТА</w:t>
      </w:r>
    </w:p>
    <w:p w14:paraId="4B9587A8" w14:textId="77777777" w:rsidR="009561FD" w:rsidRPr="002E17FD" w:rsidRDefault="009561FD" w:rsidP="0078568D">
      <w:pPr>
        <w:autoSpaceDE w:val="0"/>
        <w:autoSpaceDN w:val="0"/>
        <w:spacing w:after="0" w:line="240" w:lineRule="auto"/>
        <w:jc w:val="both"/>
        <w:rPr>
          <w:rFonts w:ascii="Times New Roman" w:eastAsia="Times New Roman" w:hAnsi="Times New Roman"/>
          <w:sz w:val="24"/>
          <w:szCs w:val="24"/>
          <w:lang w:eastAsia="ru-RU"/>
        </w:rPr>
      </w:pPr>
      <w:r w:rsidRPr="002E17FD">
        <w:rPr>
          <w:rFonts w:ascii="Times New Roman" w:eastAsia="Times New Roman" w:hAnsi="Times New Roman"/>
          <w:sz w:val="24"/>
          <w:szCs w:val="24"/>
          <w:lang w:eastAsia="ru-RU"/>
        </w:rPr>
        <w:t xml:space="preserve">Ланиб, </w:t>
      </w:r>
      <w:r w:rsidR="002726A1" w:rsidRPr="002E17FD">
        <w:rPr>
          <w:rFonts w:ascii="Times New Roman" w:eastAsia="Times New Roman" w:hAnsi="Times New Roman"/>
          <w:sz w:val="24"/>
          <w:szCs w:val="24"/>
          <w:lang w:eastAsia="ru-RU"/>
        </w:rPr>
        <w:t xml:space="preserve">250 мг, </w:t>
      </w:r>
      <w:r w:rsidRPr="002E17FD">
        <w:rPr>
          <w:rFonts w:ascii="Times New Roman" w:eastAsia="Times New Roman" w:hAnsi="Times New Roman"/>
          <w:sz w:val="24"/>
          <w:szCs w:val="24"/>
          <w:lang w:eastAsia="ru-RU"/>
        </w:rPr>
        <w:t>таблетки, покрытые пленочной оболочкой</w:t>
      </w:r>
    </w:p>
    <w:p w14:paraId="42820B94" w14:textId="77777777" w:rsidR="00B01011" w:rsidRPr="002E17FD" w:rsidRDefault="00B01011" w:rsidP="0078568D">
      <w:pPr>
        <w:autoSpaceDE w:val="0"/>
        <w:autoSpaceDN w:val="0"/>
        <w:spacing w:after="0" w:line="240" w:lineRule="auto"/>
        <w:jc w:val="both"/>
        <w:rPr>
          <w:rFonts w:ascii="Times New Roman" w:eastAsia="Times New Roman" w:hAnsi="Times New Roman"/>
          <w:sz w:val="24"/>
          <w:szCs w:val="24"/>
          <w:lang w:eastAsia="ru-RU"/>
        </w:rPr>
      </w:pPr>
    </w:p>
    <w:p w14:paraId="1202F48D" w14:textId="77777777" w:rsidR="003C07E3" w:rsidRPr="002E17FD" w:rsidRDefault="003C07E3" w:rsidP="0078568D">
      <w:pPr>
        <w:spacing w:after="0" w:line="240" w:lineRule="auto"/>
        <w:jc w:val="both"/>
        <w:rPr>
          <w:sz w:val="24"/>
          <w:szCs w:val="24"/>
        </w:rPr>
      </w:pPr>
      <w:bookmarkStart w:id="0" w:name="2175220285"/>
      <w:bookmarkStart w:id="1" w:name="OCRUncertain022"/>
      <w:r w:rsidRPr="002E17FD">
        <w:rPr>
          <w:rFonts w:ascii="Times New Roman" w:eastAsia="Times New Roman" w:hAnsi="Times New Roman"/>
          <w:b/>
          <w:sz w:val="24"/>
          <w:szCs w:val="24"/>
          <w:lang w:eastAsia="ru-RU"/>
        </w:rPr>
        <w:t xml:space="preserve">2. </w:t>
      </w:r>
      <w:r w:rsidR="00280121" w:rsidRPr="002E17FD">
        <w:rPr>
          <w:rFonts w:ascii="Times New Roman" w:eastAsia="Times New Roman" w:hAnsi="Times New Roman"/>
          <w:b/>
          <w:sz w:val="24"/>
          <w:szCs w:val="24"/>
          <w:lang w:eastAsia="ru-RU"/>
        </w:rPr>
        <w:t>КАЧЕСТВЕННЫЙ И КОЛИЧЕСТВЕННЫЙ СОСТАВ</w:t>
      </w:r>
    </w:p>
    <w:bookmarkEnd w:id="0"/>
    <w:p w14:paraId="166C7927" w14:textId="77777777" w:rsidR="001872CE" w:rsidRPr="002E17FD" w:rsidRDefault="001872CE" w:rsidP="0078568D">
      <w:pPr>
        <w:widowControl w:val="0"/>
        <w:autoSpaceDE w:val="0"/>
        <w:autoSpaceDN w:val="0"/>
        <w:spacing w:after="0" w:line="240" w:lineRule="auto"/>
        <w:ind w:left="2977" w:hanging="2977"/>
        <w:jc w:val="both"/>
        <w:rPr>
          <w:rFonts w:ascii="Times New Roman" w:eastAsia="Times New Roman" w:hAnsi="Times New Roman"/>
          <w:b/>
          <w:bCs/>
          <w:sz w:val="24"/>
          <w:szCs w:val="24"/>
          <w:lang w:eastAsia="ru-RU"/>
        </w:rPr>
      </w:pPr>
      <w:r w:rsidRPr="002E17FD">
        <w:rPr>
          <w:rFonts w:ascii="Times New Roman" w:eastAsia="TimesNewRomanPSMT" w:hAnsi="Times New Roman"/>
          <w:b/>
          <w:bCs/>
          <w:sz w:val="24"/>
          <w:szCs w:val="24"/>
          <w:lang w:eastAsia="ru-RU"/>
        </w:rPr>
        <w:t>2.1 Общее описание</w:t>
      </w:r>
      <w:r w:rsidRPr="002E17FD">
        <w:rPr>
          <w:rFonts w:ascii="Times New Roman" w:eastAsia="Times New Roman" w:hAnsi="Times New Roman"/>
          <w:b/>
          <w:bCs/>
          <w:sz w:val="24"/>
          <w:szCs w:val="24"/>
          <w:lang w:eastAsia="ru-RU"/>
        </w:rPr>
        <w:t xml:space="preserve"> </w:t>
      </w:r>
    </w:p>
    <w:p w14:paraId="5A707BEC" w14:textId="77777777" w:rsidR="00D60C5A" w:rsidRPr="002E17FD" w:rsidRDefault="009561FD" w:rsidP="0078568D">
      <w:pPr>
        <w:widowControl w:val="0"/>
        <w:autoSpaceDE w:val="0"/>
        <w:autoSpaceDN w:val="0"/>
        <w:spacing w:after="0" w:line="240" w:lineRule="auto"/>
        <w:ind w:left="2977" w:hanging="2977"/>
        <w:jc w:val="both"/>
        <w:rPr>
          <w:rFonts w:ascii="Times New Roman" w:eastAsia="Times New Roman" w:hAnsi="Times New Roman"/>
          <w:bCs/>
          <w:sz w:val="24"/>
          <w:szCs w:val="24"/>
          <w:lang w:eastAsia="ru-RU"/>
        </w:rPr>
      </w:pPr>
      <w:r w:rsidRPr="002E17FD">
        <w:rPr>
          <w:rFonts w:ascii="Times New Roman" w:eastAsia="Times New Roman" w:hAnsi="Times New Roman"/>
          <w:bCs/>
          <w:sz w:val="24"/>
          <w:szCs w:val="24"/>
          <w:lang w:eastAsia="ru-RU"/>
        </w:rPr>
        <w:t>Лапатиниб</w:t>
      </w:r>
    </w:p>
    <w:p w14:paraId="284EF3C3" w14:textId="77777777" w:rsidR="00D60C5A" w:rsidRPr="002E17FD" w:rsidRDefault="00D60C5A" w:rsidP="0078568D">
      <w:pPr>
        <w:widowControl w:val="0"/>
        <w:autoSpaceDE w:val="0"/>
        <w:autoSpaceDN w:val="0"/>
        <w:spacing w:after="0" w:line="240" w:lineRule="auto"/>
        <w:ind w:left="2977" w:hanging="2977"/>
        <w:jc w:val="both"/>
        <w:rPr>
          <w:rFonts w:ascii="Times New Roman" w:eastAsia="TimesNewRomanPSMT" w:hAnsi="Times New Roman"/>
          <w:b/>
          <w:bCs/>
          <w:sz w:val="24"/>
          <w:szCs w:val="24"/>
          <w:lang w:eastAsia="ru-RU"/>
        </w:rPr>
      </w:pPr>
      <w:r w:rsidRPr="002E17FD">
        <w:rPr>
          <w:rFonts w:ascii="Times New Roman" w:eastAsia="TimesNewRomanPSMT" w:hAnsi="Times New Roman"/>
          <w:b/>
          <w:bCs/>
          <w:sz w:val="24"/>
          <w:szCs w:val="24"/>
          <w:lang w:eastAsia="ru-RU"/>
        </w:rPr>
        <w:t>2.2 Качественный и количественный состав</w:t>
      </w:r>
    </w:p>
    <w:p w14:paraId="77EA504F" w14:textId="77777777" w:rsidR="00A074C5" w:rsidRPr="002E17FD" w:rsidRDefault="00A074C5" w:rsidP="0078568D">
      <w:pPr>
        <w:widowControl w:val="0"/>
        <w:autoSpaceDE w:val="0"/>
        <w:autoSpaceDN w:val="0"/>
        <w:spacing w:after="0" w:line="240" w:lineRule="auto"/>
        <w:jc w:val="both"/>
        <w:rPr>
          <w:rFonts w:ascii="Times New Roman" w:eastAsia="Times New Roman" w:hAnsi="Times New Roman"/>
          <w:bCs/>
          <w:sz w:val="24"/>
          <w:szCs w:val="24"/>
          <w:lang w:eastAsia="ru-RU"/>
        </w:rPr>
      </w:pPr>
      <w:r w:rsidRPr="002E17FD">
        <w:rPr>
          <w:rFonts w:ascii="Times New Roman" w:eastAsia="Times New Roman" w:hAnsi="Times New Roman"/>
          <w:bCs/>
          <w:sz w:val="24"/>
          <w:szCs w:val="24"/>
          <w:lang w:eastAsia="ru-RU"/>
        </w:rPr>
        <w:t>Одна таблетка</w:t>
      </w:r>
      <w:r w:rsidR="00A53F48" w:rsidRPr="002E17FD">
        <w:rPr>
          <w:rFonts w:ascii="Times New Roman" w:eastAsia="Times New Roman" w:hAnsi="Times New Roman"/>
          <w:bCs/>
          <w:sz w:val="24"/>
          <w:szCs w:val="24"/>
          <w:lang w:eastAsia="ru-RU"/>
        </w:rPr>
        <w:t>, покрытая пленочной оболочкой,</w:t>
      </w:r>
      <w:r w:rsidRPr="002E17FD">
        <w:rPr>
          <w:rFonts w:ascii="Times New Roman" w:eastAsia="Times New Roman" w:hAnsi="Times New Roman"/>
          <w:bCs/>
          <w:sz w:val="24"/>
          <w:szCs w:val="24"/>
          <w:lang w:eastAsia="ru-RU"/>
        </w:rPr>
        <w:t xml:space="preserve"> содержит </w:t>
      </w:r>
    </w:p>
    <w:p w14:paraId="7317EA0C" w14:textId="52E79C32" w:rsidR="00A074C5" w:rsidRPr="002E17FD" w:rsidRDefault="00A074C5" w:rsidP="00AC7F63">
      <w:pPr>
        <w:widowControl w:val="0"/>
        <w:autoSpaceDE w:val="0"/>
        <w:autoSpaceDN w:val="0"/>
        <w:spacing w:after="0" w:line="240" w:lineRule="auto"/>
        <w:jc w:val="both"/>
        <w:rPr>
          <w:rFonts w:ascii="Times New Roman" w:eastAsia="Times New Roman" w:hAnsi="Times New Roman"/>
          <w:bCs/>
          <w:sz w:val="24"/>
          <w:szCs w:val="24"/>
          <w:lang w:eastAsia="ru-RU"/>
        </w:rPr>
      </w:pPr>
      <w:r w:rsidRPr="002E17FD">
        <w:rPr>
          <w:rFonts w:ascii="Times New Roman" w:eastAsia="Times New Roman" w:hAnsi="Times New Roman"/>
          <w:bCs/>
          <w:i/>
          <w:sz w:val="24"/>
          <w:szCs w:val="24"/>
          <w:lang w:eastAsia="ru-RU"/>
        </w:rPr>
        <w:t xml:space="preserve">активное вещество </w:t>
      </w:r>
      <w:r w:rsidR="00AC7F63" w:rsidRPr="002E17FD">
        <w:rPr>
          <w:rFonts w:ascii="Times New Roman" w:eastAsia="Times New Roman" w:hAnsi="Times New Roman"/>
          <w:bCs/>
          <w:i/>
          <w:sz w:val="24"/>
          <w:szCs w:val="24"/>
          <w:lang w:eastAsia="ru-RU"/>
        </w:rPr>
        <w:t>–</w:t>
      </w:r>
      <w:r w:rsidRPr="002E17FD">
        <w:rPr>
          <w:rFonts w:ascii="Times New Roman" w:eastAsia="Times New Roman" w:hAnsi="Times New Roman"/>
          <w:bCs/>
          <w:i/>
          <w:sz w:val="24"/>
          <w:szCs w:val="24"/>
          <w:lang w:eastAsia="ru-RU"/>
        </w:rPr>
        <w:t xml:space="preserve"> </w:t>
      </w:r>
      <w:r w:rsidR="00A53F48" w:rsidRPr="002E17FD">
        <w:rPr>
          <w:rFonts w:ascii="Times New Roman" w:eastAsia="Times New Roman" w:hAnsi="Times New Roman"/>
          <w:bCs/>
          <w:sz w:val="24"/>
          <w:szCs w:val="24"/>
          <w:lang w:eastAsia="ru-RU"/>
        </w:rPr>
        <w:t>лапатиниба дитозилата моногидрат эквивалентно лапатинибу</w:t>
      </w:r>
      <w:r w:rsidR="00AC7F63" w:rsidRPr="002E17FD">
        <w:rPr>
          <w:rFonts w:ascii="Times New Roman" w:eastAsia="Times New Roman" w:hAnsi="Times New Roman"/>
          <w:bCs/>
          <w:sz w:val="24"/>
          <w:szCs w:val="24"/>
          <w:lang w:eastAsia="ru-RU"/>
        </w:rPr>
        <w:t xml:space="preserve"> 250 мг</w:t>
      </w:r>
      <w:r w:rsidR="002B2A2D" w:rsidRPr="002E17FD">
        <w:rPr>
          <w:rFonts w:ascii="Times New Roman" w:eastAsia="Times New Roman" w:hAnsi="Times New Roman"/>
          <w:bCs/>
          <w:sz w:val="24"/>
          <w:szCs w:val="24"/>
          <w:lang w:eastAsia="ru-RU"/>
        </w:rPr>
        <w:t>.</w:t>
      </w:r>
    </w:p>
    <w:p w14:paraId="777AB83B" w14:textId="77777777" w:rsidR="008C4BF9" w:rsidRPr="002E17FD" w:rsidRDefault="008C4BF9" w:rsidP="0078568D">
      <w:pPr>
        <w:autoSpaceDE w:val="0"/>
        <w:autoSpaceDN w:val="0"/>
        <w:adjustRightInd w:val="0"/>
        <w:spacing w:after="0" w:line="240" w:lineRule="auto"/>
        <w:rPr>
          <w:rFonts w:ascii="Times New Roman" w:hAnsi="Times New Roman"/>
          <w:iCs/>
          <w:sz w:val="24"/>
          <w:szCs w:val="24"/>
          <w:lang w:eastAsia="ru-RU"/>
        </w:rPr>
      </w:pPr>
      <w:r w:rsidRPr="002E17FD">
        <w:rPr>
          <w:rFonts w:ascii="Times New Roman" w:hAnsi="Times New Roman"/>
          <w:iCs/>
          <w:sz w:val="24"/>
          <w:szCs w:val="24"/>
          <w:lang w:eastAsia="ru-RU"/>
        </w:rPr>
        <w:t>Вспомогательные вещества, наличие которых надо учитывать в составе лекарственного препарата: маннитол (Перлитол 25С), натрия кроскармеллоза</w:t>
      </w:r>
      <w:r w:rsidR="0025019C" w:rsidRPr="002E17FD">
        <w:rPr>
          <w:rFonts w:ascii="Times New Roman" w:hAnsi="Times New Roman"/>
          <w:iCs/>
          <w:sz w:val="24"/>
          <w:szCs w:val="24"/>
          <w:lang w:eastAsia="ru-RU"/>
        </w:rPr>
        <w:t>.</w:t>
      </w:r>
    </w:p>
    <w:p w14:paraId="39FAA299" w14:textId="77777777" w:rsidR="003C07E3" w:rsidRPr="002E17FD" w:rsidRDefault="00E75FFF" w:rsidP="0078568D">
      <w:pPr>
        <w:autoSpaceDE w:val="0"/>
        <w:autoSpaceDN w:val="0"/>
        <w:adjustRightInd w:val="0"/>
        <w:spacing w:after="0" w:line="240" w:lineRule="auto"/>
        <w:rPr>
          <w:rFonts w:ascii="Times New Roman" w:hAnsi="Times New Roman"/>
          <w:sz w:val="24"/>
          <w:szCs w:val="24"/>
          <w:lang w:eastAsia="ru-RU"/>
        </w:rPr>
      </w:pPr>
      <w:r w:rsidRPr="002E17FD">
        <w:rPr>
          <w:rFonts w:ascii="Times New Roman" w:hAnsi="Times New Roman"/>
          <w:iCs/>
          <w:sz w:val="24"/>
          <w:szCs w:val="24"/>
          <w:lang w:eastAsia="ru-RU"/>
        </w:rPr>
        <w:t>Полный список вспомогательных веществ см. в пункте 6.1</w:t>
      </w:r>
      <w:r w:rsidRPr="002E17FD">
        <w:rPr>
          <w:rFonts w:ascii="Times New Roman" w:hAnsi="Times New Roman"/>
          <w:sz w:val="24"/>
          <w:szCs w:val="24"/>
          <w:lang w:eastAsia="ru-RU"/>
        </w:rPr>
        <w:t>.</w:t>
      </w:r>
    </w:p>
    <w:p w14:paraId="5F3CA876" w14:textId="77777777" w:rsidR="00AC7F63" w:rsidRPr="002E17FD" w:rsidRDefault="00AC7F63" w:rsidP="0078568D">
      <w:pPr>
        <w:autoSpaceDE w:val="0"/>
        <w:autoSpaceDN w:val="0"/>
        <w:adjustRightInd w:val="0"/>
        <w:spacing w:after="0" w:line="240" w:lineRule="auto"/>
        <w:rPr>
          <w:rFonts w:ascii="Times New Roman" w:eastAsia="Times New Roman" w:hAnsi="Times New Roman"/>
          <w:bCs/>
          <w:snapToGrid w:val="0"/>
          <w:sz w:val="24"/>
          <w:szCs w:val="24"/>
          <w:lang w:eastAsia="ru-RU"/>
        </w:rPr>
      </w:pPr>
    </w:p>
    <w:p w14:paraId="3517B1C0" w14:textId="77777777" w:rsidR="00B7231F" w:rsidRPr="002E17FD" w:rsidRDefault="00B7231F" w:rsidP="0078568D">
      <w:pPr>
        <w:spacing w:after="0" w:line="240" w:lineRule="auto"/>
        <w:jc w:val="both"/>
        <w:rPr>
          <w:rFonts w:ascii="Times New Roman" w:eastAsia="Times New Roman" w:hAnsi="Times New Roman"/>
          <w:b/>
          <w:sz w:val="24"/>
          <w:szCs w:val="24"/>
          <w:lang w:eastAsia="ru-RU"/>
        </w:rPr>
      </w:pPr>
      <w:bookmarkStart w:id="2" w:name="2175220286"/>
      <w:r w:rsidRPr="002E17FD">
        <w:rPr>
          <w:rFonts w:ascii="Times New Roman" w:eastAsia="Times New Roman" w:hAnsi="Times New Roman"/>
          <w:b/>
          <w:sz w:val="24"/>
          <w:szCs w:val="24"/>
          <w:lang w:eastAsia="ru-RU"/>
        </w:rPr>
        <w:t xml:space="preserve">3. </w:t>
      </w:r>
      <w:r w:rsidR="00280121" w:rsidRPr="002E17FD">
        <w:rPr>
          <w:rFonts w:ascii="Times New Roman" w:eastAsia="Times New Roman" w:hAnsi="Times New Roman"/>
          <w:b/>
          <w:sz w:val="24"/>
          <w:szCs w:val="24"/>
          <w:lang w:eastAsia="ru-RU"/>
        </w:rPr>
        <w:t>ЛЕКАРСТВЕННАЯ ФОРМА</w:t>
      </w:r>
    </w:p>
    <w:bookmarkEnd w:id="2"/>
    <w:p w14:paraId="690AE864" w14:textId="46E490CE" w:rsidR="001872CE" w:rsidRPr="00661A2E" w:rsidRDefault="00A31D1C" w:rsidP="0078568D">
      <w:pPr>
        <w:pStyle w:val="Default"/>
        <w:jc w:val="both"/>
        <w:rPr>
          <w:spacing w:val="-4"/>
          <w:lang w:val="kk-KZ"/>
        </w:rPr>
      </w:pPr>
      <w:r w:rsidRPr="002E17FD">
        <w:rPr>
          <w:spacing w:val="-4"/>
        </w:rPr>
        <w:t>Таблетки, покрытые пленочной оболочкой</w:t>
      </w:r>
      <w:r w:rsidR="00F77290" w:rsidRPr="002E17FD">
        <w:rPr>
          <w:spacing w:val="-4"/>
        </w:rPr>
        <w:t>.</w:t>
      </w:r>
    </w:p>
    <w:p w14:paraId="628235C5" w14:textId="77777777" w:rsidR="00B7231F" w:rsidRPr="002E17FD" w:rsidRDefault="008725D5" w:rsidP="0078568D">
      <w:pPr>
        <w:widowControl w:val="0"/>
        <w:autoSpaceDE w:val="0"/>
        <w:autoSpaceDN w:val="0"/>
        <w:spacing w:after="0" w:line="240" w:lineRule="auto"/>
        <w:jc w:val="both"/>
        <w:rPr>
          <w:rFonts w:ascii="Times New Roman" w:eastAsia="Times New Roman" w:hAnsi="Times New Roman"/>
          <w:color w:val="000000"/>
          <w:spacing w:val="-4"/>
          <w:sz w:val="24"/>
          <w:szCs w:val="24"/>
          <w:lang w:eastAsia="hu-HU"/>
        </w:rPr>
      </w:pPr>
      <w:r w:rsidRPr="002E17FD">
        <w:rPr>
          <w:rFonts w:ascii="Times New Roman" w:eastAsia="Times New Roman" w:hAnsi="Times New Roman"/>
          <w:color w:val="000000"/>
          <w:spacing w:val="-4"/>
          <w:sz w:val="24"/>
          <w:szCs w:val="24"/>
          <w:lang w:eastAsia="hu-HU"/>
        </w:rPr>
        <w:t>Овальные двояковыпуклые таблетки, покрытые пленочной оболочкой желтого цвета, гладкие с обеих сторон.</w:t>
      </w:r>
    </w:p>
    <w:p w14:paraId="3855A08E" w14:textId="77777777" w:rsidR="008725D5" w:rsidRPr="002E17FD" w:rsidRDefault="008725D5" w:rsidP="0078568D">
      <w:pPr>
        <w:widowControl w:val="0"/>
        <w:autoSpaceDE w:val="0"/>
        <w:autoSpaceDN w:val="0"/>
        <w:spacing w:after="0" w:line="240" w:lineRule="auto"/>
        <w:jc w:val="both"/>
        <w:rPr>
          <w:rFonts w:ascii="Times New Roman" w:eastAsia="Times New Roman" w:hAnsi="Times New Roman"/>
          <w:b/>
          <w:bCs/>
          <w:snapToGrid w:val="0"/>
          <w:sz w:val="24"/>
          <w:szCs w:val="24"/>
          <w:lang w:eastAsia="ru-RU"/>
        </w:rPr>
      </w:pPr>
    </w:p>
    <w:p w14:paraId="47FD4732" w14:textId="77777777" w:rsidR="002C1660" w:rsidRPr="002E17FD" w:rsidRDefault="00B7231F" w:rsidP="0078568D">
      <w:pPr>
        <w:spacing w:after="0" w:line="240" w:lineRule="auto"/>
        <w:jc w:val="both"/>
        <w:rPr>
          <w:rFonts w:ascii="Times New Roman" w:eastAsia="Times New Roman" w:hAnsi="Times New Roman"/>
          <w:b/>
          <w:sz w:val="24"/>
          <w:szCs w:val="24"/>
          <w:lang w:eastAsia="ru-RU"/>
        </w:rPr>
      </w:pPr>
      <w:r w:rsidRPr="002E17FD">
        <w:rPr>
          <w:rFonts w:ascii="Times New Roman" w:eastAsia="Times New Roman" w:hAnsi="Times New Roman"/>
          <w:b/>
          <w:sz w:val="24"/>
          <w:szCs w:val="24"/>
          <w:lang w:eastAsia="ru-RU"/>
        </w:rPr>
        <w:t>4</w:t>
      </w:r>
      <w:r w:rsidR="00DB406A" w:rsidRPr="002E17FD">
        <w:rPr>
          <w:rFonts w:ascii="Times New Roman" w:eastAsia="Times New Roman" w:hAnsi="Times New Roman"/>
          <w:b/>
          <w:sz w:val="24"/>
          <w:szCs w:val="24"/>
          <w:lang w:eastAsia="ru-RU"/>
        </w:rPr>
        <w:t xml:space="preserve">. </w:t>
      </w:r>
      <w:bookmarkEnd w:id="1"/>
      <w:r w:rsidR="00384EFD" w:rsidRPr="002E17FD">
        <w:rPr>
          <w:rFonts w:ascii="Times New Roman" w:eastAsia="Times New Roman" w:hAnsi="Times New Roman"/>
          <w:b/>
          <w:sz w:val="24"/>
          <w:szCs w:val="24"/>
          <w:lang w:eastAsia="ru-RU"/>
        </w:rPr>
        <w:t>КЛИНИЧЕСКИЕ ДАННЫЕ</w:t>
      </w:r>
    </w:p>
    <w:p w14:paraId="5AA11A4F" w14:textId="77777777" w:rsidR="005444B2" w:rsidRPr="002E17FD" w:rsidRDefault="00B7231F"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eastAsia="ru-RU"/>
        </w:rPr>
      </w:pPr>
      <w:r w:rsidRPr="002E17FD">
        <w:rPr>
          <w:rFonts w:ascii="Times New Roman" w:eastAsia="Times New Roman" w:hAnsi="Times New Roman"/>
          <w:b/>
          <w:bCs/>
          <w:sz w:val="24"/>
          <w:szCs w:val="24"/>
          <w:lang w:eastAsia="ru-RU"/>
        </w:rPr>
        <w:t>4</w:t>
      </w:r>
      <w:r w:rsidR="00DB406A" w:rsidRPr="002E17FD">
        <w:rPr>
          <w:rFonts w:ascii="Times New Roman" w:eastAsia="Times New Roman" w:hAnsi="Times New Roman"/>
          <w:b/>
          <w:bCs/>
          <w:sz w:val="24"/>
          <w:szCs w:val="24"/>
          <w:lang w:eastAsia="ru-RU"/>
        </w:rPr>
        <w:t>.</w:t>
      </w:r>
      <w:r w:rsidRPr="002E17FD">
        <w:rPr>
          <w:rFonts w:ascii="Times New Roman" w:eastAsia="Times New Roman" w:hAnsi="Times New Roman"/>
          <w:b/>
          <w:bCs/>
          <w:sz w:val="24"/>
          <w:szCs w:val="24"/>
          <w:lang w:eastAsia="ru-RU"/>
        </w:rPr>
        <w:t>1</w:t>
      </w:r>
      <w:r w:rsidR="00DB406A" w:rsidRPr="002E17FD">
        <w:rPr>
          <w:rFonts w:ascii="Times New Roman" w:eastAsia="Times New Roman" w:hAnsi="Times New Roman"/>
          <w:b/>
          <w:bCs/>
          <w:sz w:val="24"/>
          <w:szCs w:val="24"/>
          <w:lang w:eastAsia="ru-RU"/>
        </w:rPr>
        <w:t xml:space="preserve"> </w:t>
      </w:r>
      <w:r w:rsidR="005444B2" w:rsidRPr="002E17FD">
        <w:rPr>
          <w:rFonts w:ascii="Times New Roman" w:eastAsia="Times New Roman" w:hAnsi="Times New Roman"/>
          <w:b/>
          <w:bCs/>
          <w:sz w:val="24"/>
          <w:szCs w:val="24"/>
          <w:lang w:eastAsia="ru-RU"/>
        </w:rPr>
        <w:t>Показания к применению</w:t>
      </w:r>
    </w:p>
    <w:p w14:paraId="717B3E09" w14:textId="77777777" w:rsidR="00F8040D" w:rsidRPr="002E17FD" w:rsidRDefault="00F8040D" w:rsidP="00F8040D">
      <w:pPr>
        <w:spacing w:after="0" w:line="20" w:lineRule="atLeast"/>
        <w:ind w:left="-5" w:right="6"/>
        <w:jc w:val="both"/>
        <w:rPr>
          <w:rFonts w:ascii="Times New Roman" w:hAnsi="Times New Roman"/>
          <w:sz w:val="24"/>
          <w:szCs w:val="24"/>
        </w:rPr>
      </w:pPr>
      <w:r w:rsidRPr="002E17FD">
        <w:rPr>
          <w:rFonts w:ascii="Times New Roman" w:hAnsi="Times New Roman"/>
          <w:sz w:val="24"/>
          <w:szCs w:val="24"/>
          <w:lang w:val="ru"/>
        </w:rPr>
        <w:t>Ланиб показан для лечения взрослых пациентов с раком молочной железы с гиперэкспрессией HER2 (ErbB2):</w:t>
      </w:r>
    </w:p>
    <w:p w14:paraId="2007CA58" w14:textId="5AA8179F" w:rsidR="00F8040D" w:rsidRPr="002E17FD" w:rsidRDefault="00F8040D" w:rsidP="00F8040D">
      <w:pPr>
        <w:spacing w:after="0" w:line="20" w:lineRule="atLeast"/>
        <w:ind w:left="-5" w:right="6"/>
        <w:jc w:val="both"/>
        <w:rPr>
          <w:rFonts w:ascii="Times New Roman" w:hAnsi="Times New Roman"/>
          <w:sz w:val="24"/>
          <w:szCs w:val="24"/>
        </w:rPr>
      </w:pPr>
      <w:r w:rsidRPr="002E17FD">
        <w:rPr>
          <w:rFonts w:ascii="Times New Roman" w:hAnsi="Times New Roman"/>
          <w:sz w:val="24"/>
          <w:szCs w:val="24"/>
          <w:lang w:val="ru"/>
        </w:rPr>
        <w:t xml:space="preserve">-в комбинации с капецитабином у больных с прогрессированием заболевания при начальной терапии </w:t>
      </w:r>
      <w:r w:rsidR="00817C6B" w:rsidRPr="002E17FD">
        <w:rPr>
          <w:rFonts w:ascii="Times New Roman" w:hAnsi="Times New Roman"/>
          <w:sz w:val="24"/>
          <w:szCs w:val="24"/>
          <w:lang w:val="ru"/>
        </w:rPr>
        <w:t xml:space="preserve">распространённых или </w:t>
      </w:r>
      <w:r w:rsidRPr="002E17FD">
        <w:rPr>
          <w:rFonts w:ascii="Times New Roman" w:hAnsi="Times New Roman"/>
          <w:sz w:val="24"/>
          <w:szCs w:val="24"/>
          <w:lang w:val="ru"/>
        </w:rPr>
        <w:t xml:space="preserve">метастатических состояний атрациклинами, таксанами и трастузумабом </w:t>
      </w:r>
      <w:r w:rsidR="00CB05D5" w:rsidRPr="002E17FD">
        <w:rPr>
          <w:rFonts w:ascii="Times New Roman" w:hAnsi="Times New Roman"/>
          <w:sz w:val="24"/>
          <w:szCs w:val="24"/>
          <w:lang w:val="ru"/>
        </w:rPr>
        <w:t>(см. раздел 5.1)</w:t>
      </w:r>
    </w:p>
    <w:p w14:paraId="65EA5B2C" w14:textId="1698A332" w:rsidR="00F8040D" w:rsidRPr="002E17FD" w:rsidRDefault="00F8040D" w:rsidP="00F8040D">
      <w:pPr>
        <w:spacing w:after="0" w:line="20" w:lineRule="atLeast"/>
        <w:ind w:left="-5" w:right="6"/>
        <w:jc w:val="both"/>
        <w:rPr>
          <w:rFonts w:ascii="Times New Roman" w:hAnsi="Times New Roman"/>
          <w:sz w:val="24"/>
          <w:szCs w:val="24"/>
        </w:rPr>
      </w:pPr>
      <w:r w:rsidRPr="002E17FD">
        <w:rPr>
          <w:rFonts w:ascii="Times New Roman" w:hAnsi="Times New Roman"/>
          <w:sz w:val="24"/>
          <w:szCs w:val="24"/>
          <w:lang w:val="ru"/>
        </w:rPr>
        <w:t>-в комбинации с трастузумабом и химиотерапией у больных с прогрессированием гормонально негативного метастатического заболевания на начальной терапии трастузумабом</w:t>
      </w:r>
      <w:r w:rsidR="00CB05D5" w:rsidRPr="002E17FD">
        <w:rPr>
          <w:rFonts w:ascii="Times New Roman" w:hAnsi="Times New Roman"/>
          <w:sz w:val="24"/>
          <w:szCs w:val="24"/>
          <w:lang w:val="ru"/>
        </w:rPr>
        <w:t xml:space="preserve"> (см. раздел 5.1)</w:t>
      </w:r>
    </w:p>
    <w:p w14:paraId="6AB89294" w14:textId="20306166" w:rsidR="00A24EC8" w:rsidRPr="002E17FD" w:rsidRDefault="00F8040D" w:rsidP="00A24EC8">
      <w:pPr>
        <w:spacing w:after="0" w:line="20" w:lineRule="atLeast"/>
        <w:ind w:left="-5" w:right="6"/>
        <w:jc w:val="both"/>
        <w:rPr>
          <w:rFonts w:ascii="Times New Roman" w:hAnsi="Times New Roman"/>
          <w:sz w:val="24"/>
          <w:szCs w:val="24"/>
          <w:lang w:val="ru"/>
        </w:rPr>
      </w:pPr>
      <w:r w:rsidRPr="002E17FD">
        <w:rPr>
          <w:rFonts w:ascii="Times New Roman" w:hAnsi="Times New Roman"/>
          <w:sz w:val="24"/>
          <w:szCs w:val="24"/>
          <w:lang w:val="ru"/>
        </w:rPr>
        <w:t>-лечение гормонально позитивного метастатического заболевания в комбинации с ингибиторами ароматазы у женщин в период постменопаузы, не получающих химиотерапию. В регистрационном исследовании пациенты ранее не принимали трастузумаб или ингибиторы ароматазы</w:t>
      </w:r>
      <w:r w:rsidR="00CB05D5" w:rsidRPr="002E17FD">
        <w:rPr>
          <w:rFonts w:ascii="Times New Roman" w:hAnsi="Times New Roman"/>
          <w:sz w:val="24"/>
          <w:szCs w:val="24"/>
          <w:lang w:val="ru"/>
        </w:rPr>
        <w:t xml:space="preserve"> (см. раздел 4.4 и 5.1)</w:t>
      </w:r>
      <w:r w:rsidRPr="002E17FD">
        <w:rPr>
          <w:rFonts w:ascii="Times New Roman" w:hAnsi="Times New Roman"/>
          <w:sz w:val="24"/>
          <w:szCs w:val="24"/>
          <w:lang w:val="ru"/>
        </w:rPr>
        <w:t>. Данные об эффективности у этих пациентов такой комбинации препаратов, как трастузумаб и ингибиторы ароматазы, отсутствуют.</w:t>
      </w:r>
    </w:p>
    <w:p w14:paraId="45DC31AD" w14:textId="77777777" w:rsidR="00A24EC8" w:rsidRPr="002E17FD" w:rsidRDefault="00A24EC8" w:rsidP="0078568D">
      <w:pPr>
        <w:tabs>
          <w:tab w:val="left" w:pos="8931"/>
        </w:tabs>
        <w:spacing w:after="0" w:line="240" w:lineRule="auto"/>
        <w:jc w:val="both"/>
        <w:rPr>
          <w:rFonts w:ascii="Times New Roman" w:hAnsi="Times New Roman"/>
          <w:sz w:val="24"/>
          <w:szCs w:val="24"/>
        </w:rPr>
      </w:pPr>
    </w:p>
    <w:p w14:paraId="2B6A81A1" w14:textId="77777777" w:rsidR="00B7231F" w:rsidRPr="002E17FD" w:rsidRDefault="00B7231F" w:rsidP="0078568D">
      <w:pPr>
        <w:spacing w:after="0" w:line="240" w:lineRule="auto"/>
        <w:jc w:val="both"/>
        <w:rPr>
          <w:rFonts w:ascii="Times New Roman" w:eastAsia="Times New Roman" w:hAnsi="Times New Roman"/>
          <w:b/>
          <w:sz w:val="24"/>
          <w:szCs w:val="24"/>
          <w:lang w:eastAsia="ru-RU"/>
        </w:rPr>
      </w:pPr>
      <w:bookmarkStart w:id="3" w:name="2175220274"/>
      <w:r w:rsidRPr="002E17FD">
        <w:rPr>
          <w:rFonts w:ascii="Times New Roman" w:eastAsia="Times New Roman" w:hAnsi="Times New Roman"/>
          <w:b/>
          <w:sz w:val="24"/>
          <w:szCs w:val="24"/>
          <w:lang w:eastAsia="ru-RU"/>
        </w:rPr>
        <w:t>4.2 Режим дозирования и способ применения</w:t>
      </w:r>
    </w:p>
    <w:p w14:paraId="2FFBD7C7" w14:textId="77777777" w:rsidR="00D136FE" w:rsidRPr="002E17FD" w:rsidRDefault="00D136FE" w:rsidP="00D136FE">
      <w:pPr>
        <w:spacing w:after="0" w:line="240" w:lineRule="auto"/>
        <w:jc w:val="both"/>
        <w:rPr>
          <w:rFonts w:ascii="Times New Roman" w:eastAsia="Times New Roman" w:hAnsi="Times New Roman"/>
          <w:sz w:val="24"/>
          <w:szCs w:val="24"/>
          <w:lang w:eastAsia="ru-RU"/>
        </w:rPr>
      </w:pPr>
      <w:r w:rsidRPr="002E17FD">
        <w:rPr>
          <w:rFonts w:ascii="Times New Roman" w:eastAsia="Times New Roman" w:hAnsi="Times New Roman"/>
          <w:sz w:val="24"/>
          <w:szCs w:val="24"/>
          <w:lang w:eastAsia="ru-RU"/>
        </w:rPr>
        <w:t xml:space="preserve">Лечение Ланибом должно назначаться только врачом, имеющим опыт применения противоопухолевых препаратов. </w:t>
      </w:r>
    </w:p>
    <w:p w14:paraId="6B91C269" w14:textId="77777777" w:rsidR="00D136FE" w:rsidRPr="002E17FD" w:rsidRDefault="00D136FE" w:rsidP="0078568D">
      <w:pPr>
        <w:spacing w:after="0" w:line="240" w:lineRule="auto"/>
        <w:jc w:val="both"/>
        <w:rPr>
          <w:rFonts w:ascii="Times New Roman" w:eastAsia="Times New Roman" w:hAnsi="Times New Roman"/>
          <w:sz w:val="24"/>
          <w:szCs w:val="24"/>
          <w:lang w:eastAsia="ru-RU"/>
        </w:rPr>
      </w:pPr>
      <w:r w:rsidRPr="002E17FD">
        <w:rPr>
          <w:rFonts w:ascii="Times New Roman" w:eastAsia="Times New Roman" w:hAnsi="Times New Roman"/>
          <w:sz w:val="24"/>
          <w:szCs w:val="24"/>
          <w:lang w:eastAsia="ru-RU"/>
        </w:rPr>
        <w:lastRenderedPageBreak/>
        <w:t xml:space="preserve">Опухоли с гиперэкспрессией HER2 (ErbB2) определяются с помощью IHC3 + или IHC2 + с амплификацией гена или только с помощью амплификации гена. Необходимо определить статус HER2, используя точные и обоснованные методы диагностики. </w:t>
      </w:r>
    </w:p>
    <w:p w14:paraId="51DC1D2C" w14:textId="77777777" w:rsidR="00891EB8" w:rsidRPr="002E17FD" w:rsidRDefault="00B7231F" w:rsidP="0078568D">
      <w:pPr>
        <w:spacing w:after="0" w:line="240" w:lineRule="auto"/>
        <w:jc w:val="both"/>
        <w:rPr>
          <w:rFonts w:ascii="Times New Roman" w:eastAsia="Times New Roman" w:hAnsi="Times New Roman"/>
          <w:b/>
          <w:sz w:val="24"/>
          <w:szCs w:val="24"/>
          <w:lang w:eastAsia="ru-RU"/>
        </w:rPr>
      </w:pPr>
      <w:r w:rsidRPr="002E17FD">
        <w:rPr>
          <w:rFonts w:ascii="Times New Roman" w:eastAsia="Times New Roman" w:hAnsi="Times New Roman"/>
          <w:b/>
          <w:sz w:val="24"/>
          <w:szCs w:val="24"/>
          <w:lang w:eastAsia="ru-RU"/>
        </w:rPr>
        <w:t xml:space="preserve">Режим дозирования </w:t>
      </w:r>
    </w:p>
    <w:bookmarkEnd w:id="3"/>
    <w:p w14:paraId="0457F189" w14:textId="77777777" w:rsidR="00401F77" w:rsidRPr="002E17FD" w:rsidRDefault="00401F77" w:rsidP="00401F77">
      <w:pPr>
        <w:spacing w:after="0" w:line="240" w:lineRule="auto"/>
        <w:ind w:left="-5" w:right="7"/>
        <w:jc w:val="both"/>
        <w:rPr>
          <w:rFonts w:ascii="Times New Roman" w:hAnsi="Times New Roman"/>
          <w:sz w:val="24"/>
          <w:szCs w:val="24"/>
        </w:rPr>
      </w:pPr>
      <w:r w:rsidRPr="002E17FD">
        <w:rPr>
          <w:rFonts w:ascii="Times New Roman" w:hAnsi="Times New Roman"/>
          <w:i/>
          <w:iCs/>
          <w:sz w:val="24"/>
          <w:szCs w:val="24"/>
          <w:lang w:val="ru"/>
        </w:rPr>
        <w:t xml:space="preserve">Ланиб в комбинации с капецитабином </w:t>
      </w:r>
    </w:p>
    <w:p w14:paraId="3CD9D25C" w14:textId="77777777" w:rsidR="00401F77" w:rsidRPr="002E17FD" w:rsidRDefault="00401F77" w:rsidP="00401F77">
      <w:pPr>
        <w:spacing w:after="0" w:line="240" w:lineRule="auto"/>
        <w:jc w:val="both"/>
        <w:rPr>
          <w:rFonts w:ascii="Times New Roman" w:hAnsi="Times New Roman"/>
          <w:sz w:val="24"/>
          <w:szCs w:val="24"/>
        </w:rPr>
      </w:pPr>
      <w:r w:rsidRPr="002E17FD">
        <w:rPr>
          <w:rFonts w:ascii="Times New Roman" w:hAnsi="Times New Roman"/>
          <w:sz w:val="24"/>
          <w:szCs w:val="24"/>
          <w:lang w:val="ru"/>
        </w:rPr>
        <w:t xml:space="preserve">Рекомендуемая доза </w:t>
      </w:r>
      <w:r w:rsidR="0027259D" w:rsidRPr="002E17FD">
        <w:rPr>
          <w:rFonts w:ascii="Times New Roman" w:hAnsi="Times New Roman"/>
          <w:sz w:val="24"/>
          <w:szCs w:val="24"/>
          <w:lang w:val="ru"/>
        </w:rPr>
        <w:t>Ланиба</w:t>
      </w:r>
      <w:r w:rsidRPr="002E17FD">
        <w:rPr>
          <w:rFonts w:ascii="Times New Roman" w:hAnsi="Times New Roman"/>
          <w:sz w:val="24"/>
          <w:szCs w:val="24"/>
          <w:lang w:val="ru"/>
        </w:rPr>
        <w:t xml:space="preserve"> составляет 1250 мг (пять таблеток) однократно в сутки, постоянно. </w:t>
      </w:r>
    </w:p>
    <w:p w14:paraId="0B67F91A" w14:textId="3C8721B8" w:rsidR="00401F77" w:rsidRPr="002E17FD" w:rsidRDefault="00401F77" w:rsidP="00401F77">
      <w:pPr>
        <w:spacing w:after="0" w:line="240" w:lineRule="auto"/>
        <w:ind w:left="-5" w:right="2"/>
        <w:jc w:val="both"/>
        <w:rPr>
          <w:rFonts w:ascii="Times New Roman" w:hAnsi="Times New Roman"/>
          <w:sz w:val="24"/>
          <w:szCs w:val="24"/>
          <w:lang w:val="ru"/>
        </w:rPr>
      </w:pPr>
      <w:r w:rsidRPr="002E17FD">
        <w:rPr>
          <w:rFonts w:ascii="Times New Roman" w:hAnsi="Times New Roman"/>
          <w:sz w:val="24"/>
          <w:szCs w:val="24"/>
          <w:lang w:val="ru"/>
        </w:rPr>
        <w:t>Рекомендуемая доза капецитабина — 2000 мг/м</w:t>
      </w:r>
      <w:r w:rsidRPr="002E17FD">
        <w:rPr>
          <w:rFonts w:ascii="Times New Roman" w:hAnsi="Times New Roman"/>
          <w:sz w:val="24"/>
          <w:szCs w:val="24"/>
          <w:vertAlign w:val="superscript"/>
          <w:lang w:val="ru"/>
        </w:rPr>
        <w:t>2</w:t>
      </w:r>
      <w:r w:rsidRPr="002E17FD">
        <w:rPr>
          <w:rFonts w:ascii="Times New Roman" w:hAnsi="Times New Roman"/>
          <w:sz w:val="24"/>
          <w:szCs w:val="24"/>
          <w:lang w:val="ru"/>
        </w:rPr>
        <w:t>/сутки, которую принимают в 2 приема с интервалом 12 часов с 1 по 14 дни цикла, который составляет 21 день</w:t>
      </w:r>
      <w:r w:rsidR="00817C6B" w:rsidRPr="002E17FD">
        <w:rPr>
          <w:rFonts w:ascii="Times New Roman" w:hAnsi="Times New Roman"/>
          <w:sz w:val="24"/>
          <w:szCs w:val="24"/>
          <w:lang w:val="ru"/>
        </w:rPr>
        <w:t xml:space="preserve"> (см. раздел 5.1). </w:t>
      </w:r>
      <w:r w:rsidRPr="002E17FD">
        <w:rPr>
          <w:rFonts w:ascii="Times New Roman" w:hAnsi="Times New Roman"/>
          <w:sz w:val="24"/>
          <w:szCs w:val="24"/>
          <w:lang w:val="ru"/>
        </w:rPr>
        <w:t xml:space="preserve">Рекомендуется принимать капецитабин с едой или в течение 30 мин после еды. Смотрите инструкцию по применению препарата капецитабин. </w:t>
      </w:r>
    </w:p>
    <w:p w14:paraId="2ECC2094" w14:textId="77777777" w:rsidR="00401F77" w:rsidRPr="002E17FD" w:rsidRDefault="00401F77" w:rsidP="00401F77">
      <w:pPr>
        <w:spacing w:after="0" w:line="240" w:lineRule="auto"/>
        <w:ind w:left="-5" w:right="2"/>
        <w:jc w:val="both"/>
        <w:rPr>
          <w:rFonts w:ascii="Times New Roman" w:hAnsi="Times New Roman"/>
          <w:sz w:val="24"/>
          <w:szCs w:val="24"/>
        </w:rPr>
      </w:pPr>
      <w:r w:rsidRPr="002E17FD">
        <w:rPr>
          <w:rFonts w:ascii="Times New Roman" w:hAnsi="Times New Roman"/>
          <w:i/>
          <w:iCs/>
          <w:sz w:val="24"/>
          <w:szCs w:val="24"/>
          <w:lang w:val="ru"/>
        </w:rPr>
        <w:t xml:space="preserve">Ланиб в комбинации с трастузумабом </w:t>
      </w:r>
    </w:p>
    <w:p w14:paraId="680AA834" w14:textId="77777777" w:rsidR="00401F77" w:rsidRPr="002E17FD" w:rsidRDefault="00401F77" w:rsidP="00401F77">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 xml:space="preserve">Рекомендуемая доза Ланиба составляет 1000 мг (четыре таблетки) однократно в сутки, постоянно. </w:t>
      </w:r>
    </w:p>
    <w:p w14:paraId="7BE3B5F1" w14:textId="51279C0C" w:rsidR="00401F77" w:rsidRPr="002E17FD" w:rsidRDefault="00401F77" w:rsidP="00401F77">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Рекомендуемая доза трастузумаба составляет 4 мг/кг, вводимая в виде нагрузочной внутривенной инъекции, и затем 2 мг/кг внутривенно – еженедельно</w:t>
      </w:r>
      <w:r w:rsidR="00271059" w:rsidRPr="002E17FD">
        <w:rPr>
          <w:rFonts w:ascii="Times New Roman" w:hAnsi="Times New Roman"/>
          <w:sz w:val="24"/>
          <w:szCs w:val="24"/>
          <w:lang w:val="ru"/>
        </w:rPr>
        <w:t xml:space="preserve"> (см. раздел 5.1)</w:t>
      </w:r>
      <w:r w:rsidRPr="002E17FD">
        <w:rPr>
          <w:rFonts w:ascii="Times New Roman" w:hAnsi="Times New Roman"/>
          <w:sz w:val="24"/>
          <w:szCs w:val="24"/>
          <w:lang w:val="ru"/>
        </w:rPr>
        <w:t xml:space="preserve">. Смотрите инструкцию по применению препарата трастузумаб. </w:t>
      </w:r>
    </w:p>
    <w:p w14:paraId="69C7E3B2" w14:textId="77777777" w:rsidR="00401F77" w:rsidRPr="002E17FD" w:rsidRDefault="00401F77" w:rsidP="00401F77">
      <w:pPr>
        <w:spacing w:after="0" w:line="240" w:lineRule="auto"/>
        <w:ind w:left="-5" w:right="7"/>
        <w:jc w:val="both"/>
        <w:rPr>
          <w:rFonts w:ascii="Times New Roman" w:hAnsi="Times New Roman"/>
          <w:sz w:val="24"/>
          <w:szCs w:val="24"/>
        </w:rPr>
      </w:pPr>
      <w:r w:rsidRPr="002E17FD">
        <w:rPr>
          <w:rFonts w:ascii="Times New Roman" w:hAnsi="Times New Roman"/>
          <w:i/>
          <w:iCs/>
          <w:sz w:val="24"/>
          <w:szCs w:val="24"/>
          <w:lang w:val="ru"/>
        </w:rPr>
        <w:t xml:space="preserve">Ланиб в комбинации с ингибитором ароматазы </w:t>
      </w:r>
    </w:p>
    <w:p w14:paraId="34771B53" w14:textId="77777777" w:rsidR="00401F77" w:rsidRPr="002E17FD" w:rsidRDefault="00401F77" w:rsidP="00401F77">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 xml:space="preserve">Рекомендуемая доза Ланиба составляет 1500 мг (шесть таблеток) однократно в сутки, постоянно. </w:t>
      </w:r>
    </w:p>
    <w:p w14:paraId="58601C10" w14:textId="77777777" w:rsidR="00401F77" w:rsidRPr="002E17FD" w:rsidRDefault="00401F77" w:rsidP="00401F77">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 xml:space="preserve">Смотрите инструкцию в отношении данных по дозированию при комбинации с ингибитором ароматазы. </w:t>
      </w:r>
    </w:p>
    <w:p w14:paraId="7A2174A4" w14:textId="77777777" w:rsidR="00401F77" w:rsidRPr="002E17FD" w:rsidRDefault="00401F77" w:rsidP="00401F77">
      <w:pPr>
        <w:spacing w:after="0" w:line="240" w:lineRule="auto"/>
        <w:ind w:left="-5" w:right="7"/>
        <w:jc w:val="both"/>
        <w:rPr>
          <w:rFonts w:ascii="Times New Roman" w:hAnsi="Times New Roman"/>
          <w:sz w:val="24"/>
          <w:szCs w:val="24"/>
          <w:u w:val="single"/>
        </w:rPr>
      </w:pPr>
      <w:r w:rsidRPr="002E17FD">
        <w:rPr>
          <w:rFonts w:ascii="Times New Roman" w:hAnsi="Times New Roman"/>
          <w:i/>
          <w:iCs/>
          <w:sz w:val="24"/>
          <w:szCs w:val="24"/>
          <w:u w:val="single"/>
          <w:lang w:val="ru"/>
        </w:rPr>
        <w:t>Приостановление приема или уменьшение дозы</w:t>
      </w:r>
      <w:r w:rsidRPr="002E17FD">
        <w:rPr>
          <w:rFonts w:ascii="Times New Roman" w:hAnsi="Times New Roman"/>
          <w:i/>
          <w:sz w:val="24"/>
          <w:szCs w:val="24"/>
          <w:u w:val="single"/>
          <w:lang w:val="ru"/>
        </w:rPr>
        <w:t xml:space="preserve"> </w:t>
      </w:r>
    </w:p>
    <w:p w14:paraId="7084A7D1" w14:textId="77777777" w:rsidR="00401F77" w:rsidRPr="002E17FD" w:rsidRDefault="00401F77" w:rsidP="00401F77">
      <w:pPr>
        <w:spacing w:after="0" w:line="240" w:lineRule="auto"/>
        <w:ind w:left="-5"/>
        <w:jc w:val="both"/>
        <w:rPr>
          <w:rFonts w:ascii="Times New Roman" w:hAnsi="Times New Roman"/>
          <w:sz w:val="24"/>
          <w:szCs w:val="24"/>
        </w:rPr>
      </w:pPr>
      <w:r w:rsidRPr="002E17FD">
        <w:rPr>
          <w:rFonts w:ascii="Times New Roman" w:hAnsi="Times New Roman"/>
          <w:i/>
          <w:iCs/>
          <w:sz w:val="24"/>
          <w:szCs w:val="24"/>
          <w:lang w:val="ru"/>
        </w:rPr>
        <w:t>Нарушения со стороны сердечно-сосудистой системы</w:t>
      </w:r>
      <w:r w:rsidRPr="002E17FD">
        <w:rPr>
          <w:rFonts w:ascii="Times New Roman" w:hAnsi="Times New Roman"/>
          <w:sz w:val="24"/>
          <w:szCs w:val="24"/>
          <w:lang w:val="ru"/>
        </w:rPr>
        <w:t xml:space="preserve"> </w:t>
      </w:r>
    </w:p>
    <w:p w14:paraId="2C270107" w14:textId="45253663" w:rsidR="00401F77" w:rsidRPr="002E17FD" w:rsidRDefault="00401F77" w:rsidP="00401F77">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Лечение Ланибом должно быть прекращено в случае появления симптомов снижения фракции выброса левого желудочка до 3 степени или выше (по классификации нежелательных явлений Национального Онкологического Института), или в случае ее снижения ниже границы допустимой нормы</w:t>
      </w:r>
      <w:r w:rsidR="00271059" w:rsidRPr="002E17FD">
        <w:rPr>
          <w:rFonts w:ascii="Times New Roman" w:hAnsi="Times New Roman"/>
          <w:sz w:val="24"/>
          <w:szCs w:val="24"/>
          <w:lang w:val="ru"/>
        </w:rPr>
        <w:t xml:space="preserve"> (см. раздел 4.4)</w:t>
      </w:r>
      <w:r w:rsidRPr="002E17FD">
        <w:rPr>
          <w:rFonts w:ascii="Times New Roman" w:hAnsi="Times New Roman"/>
          <w:sz w:val="24"/>
          <w:szCs w:val="24"/>
          <w:lang w:val="ru"/>
        </w:rPr>
        <w:t xml:space="preserve">. Лечение Ланибом может быть возобновлено не ранее, чем через 2 недели, и в меньшей дозе (750 мг/сутки при назначении с трастузумабом, 1000 мг/сутки при сочетании с капецитабином или 1250 мг/сутки при сочетании с ингибитором ароматазы), и только в случае, если уровень фракции выброса левого желудочка находится в допустимых границах нормы и при отсутствии характерных симптомов. </w:t>
      </w:r>
    </w:p>
    <w:p w14:paraId="6F5F2602" w14:textId="77777777" w:rsidR="00401F77" w:rsidRPr="002E17FD" w:rsidRDefault="00401F77" w:rsidP="00401F77">
      <w:pPr>
        <w:spacing w:after="0" w:line="240" w:lineRule="auto"/>
        <w:ind w:left="-5"/>
        <w:jc w:val="both"/>
        <w:rPr>
          <w:rFonts w:ascii="Times New Roman" w:hAnsi="Times New Roman"/>
          <w:sz w:val="24"/>
          <w:szCs w:val="24"/>
        </w:rPr>
      </w:pPr>
      <w:r w:rsidRPr="002E17FD">
        <w:rPr>
          <w:rFonts w:ascii="Times New Roman" w:hAnsi="Times New Roman"/>
          <w:i/>
          <w:iCs/>
          <w:sz w:val="24"/>
          <w:szCs w:val="24"/>
          <w:lang w:val="ru"/>
        </w:rPr>
        <w:t xml:space="preserve">Интерстициальный легочный процесс/пневмонит </w:t>
      </w:r>
    </w:p>
    <w:p w14:paraId="30420AF8" w14:textId="36A99294" w:rsidR="00401F77" w:rsidRPr="002E17FD" w:rsidRDefault="00401F77" w:rsidP="00401F77">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Лечение Ланибом должно быть прекращено в случае появления легочных симптомов 3 степени или выше (по классификации нежелательных явлений Национального Онкологического Института)</w:t>
      </w:r>
      <w:r w:rsidR="00271059" w:rsidRPr="002E17FD">
        <w:rPr>
          <w:rFonts w:ascii="Times New Roman" w:hAnsi="Times New Roman"/>
          <w:sz w:val="24"/>
          <w:szCs w:val="24"/>
          <w:lang w:val="ru"/>
        </w:rPr>
        <w:t xml:space="preserve"> (см. раздел 4.4)</w:t>
      </w:r>
      <w:r w:rsidRPr="002E17FD">
        <w:rPr>
          <w:rFonts w:ascii="Times New Roman" w:hAnsi="Times New Roman"/>
          <w:sz w:val="24"/>
          <w:szCs w:val="24"/>
          <w:lang w:val="ru"/>
        </w:rPr>
        <w:t>.</w:t>
      </w:r>
    </w:p>
    <w:p w14:paraId="70ABA9D4" w14:textId="77777777" w:rsidR="00401F77" w:rsidRPr="002E17FD" w:rsidRDefault="00401F77" w:rsidP="00401F77">
      <w:pPr>
        <w:spacing w:after="0" w:line="240" w:lineRule="auto"/>
        <w:ind w:left="-5"/>
        <w:jc w:val="both"/>
        <w:rPr>
          <w:rFonts w:ascii="Times New Roman" w:hAnsi="Times New Roman"/>
          <w:sz w:val="24"/>
          <w:szCs w:val="24"/>
        </w:rPr>
      </w:pPr>
      <w:r w:rsidRPr="002E17FD">
        <w:rPr>
          <w:rFonts w:ascii="Times New Roman" w:hAnsi="Times New Roman"/>
          <w:i/>
          <w:iCs/>
          <w:sz w:val="24"/>
          <w:szCs w:val="24"/>
          <w:lang w:val="ru"/>
        </w:rPr>
        <w:t xml:space="preserve">Диарея </w:t>
      </w:r>
    </w:p>
    <w:p w14:paraId="049F0CC6" w14:textId="36FD8F4A" w:rsidR="00401F77" w:rsidRPr="002E17FD" w:rsidRDefault="00401F77" w:rsidP="00401F77">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 xml:space="preserve">Прием Ланиба должен быть приостановлен у пациентов с диареей 3 степени или 1-2 степеней при наличии сопутствующих симптомов (спазмы в области живота средней или тяжелой степеней тяжести, тошнота или рвота 2 степени или выше по классификации нежелательных явлений Национального Онкологического Института, </w:t>
      </w:r>
      <w:r w:rsidR="00271059" w:rsidRPr="002E17FD">
        <w:rPr>
          <w:rFonts w:ascii="Times New Roman" w:hAnsi="Times New Roman"/>
          <w:sz w:val="24"/>
          <w:szCs w:val="24"/>
          <w:lang w:val="ru"/>
        </w:rPr>
        <w:t xml:space="preserve">снижение работоспособности, </w:t>
      </w:r>
      <w:r w:rsidRPr="002E17FD">
        <w:rPr>
          <w:rFonts w:ascii="Times New Roman" w:hAnsi="Times New Roman"/>
          <w:sz w:val="24"/>
          <w:szCs w:val="24"/>
          <w:lang w:val="ru"/>
        </w:rPr>
        <w:t>лихорадка, сепсис, нейтропения, открытые кровотечения, дегидратация)</w:t>
      </w:r>
      <w:r w:rsidR="00B06759" w:rsidRPr="002E17FD">
        <w:rPr>
          <w:rFonts w:ascii="Times New Roman" w:hAnsi="Times New Roman"/>
          <w:sz w:val="24"/>
          <w:szCs w:val="24"/>
          <w:lang w:val="ru"/>
        </w:rPr>
        <w:t xml:space="preserve"> (см. разделы 4.4 и 4.8).</w:t>
      </w:r>
      <w:r w:rsidRPr="002E17FD">
        <w:rPr>
          <w:rFonts w:ascii="Times New Roman" w:hAnsi="Times New Roman"/>
          <w:sz w:val="24"/>
          <w:szCs w:val="24"/>
          <w:lang w:val="ru"/>
        </w:rPr>
        <w:t xml:space="preserve"> Терапия Ланибом может быть возобновлена меньшими дозами препарата при степени диареи 1 или ниже (снижение дозы с 1000 мг/сутки до 750 мг/сутки, с 1250 мг/сутки до 1000 мг/сутки или с 1500 мг/сутки до 1250 мг/сутки). Ланиб должен быть полностью отменен без последующего возобновления при развитии диареи 4 степени (по классификации нежелательных явлений Национального Онкологического Института). </w:t>
      </w:r>
    </w:p>
    <w:p w14:paraId="64B9CAFD" w14:textId="77777777" w:rsidR="00401F77" w:rsidRPr="002E17FD" w:rsidRDefault="00401F77" w:rsidP="00401F77">
      <w:pPr>
        <w:spacing w:after="0" w:line="240" w:lineRule="auto"/>
        <w:ind w:left="-5"/>
        <w:jc w:val="both"/>
        <w:rPr>
          <w:rFonts w:ascii="Times New Roman" w:hAnsi="Times New Roman"/>
          <w:sz w:val="24"/>
          <w:szCs w:val="24"/>
        </w:rPr>
      </w:pPr>
      <w:r w:rsidRPr="002E17FD">
        <w:rPr>
          <w:rFonts w:ascii="Times New Roman" w:hAnsi="Times New Roman"/>
          <w:i/>
          <w:iCs/>
          <w:sz w:val="24"/>
          <w:szCs w:val="24"/>
          <w:lang w:val="ru"/>
        </w:rPr>
        <w:t xml:space="preserve">Другие проявления токсичности препарата </w:t>
      </w:r>
    </w:p>
    <w:p w14:paraId="46AD3B8E" w14:textId="77777777" w:rsidR="00401F77" w:rsidRPr="002E17FD" w:rsidRDefault="00401F77" w:rsidP="00B6462C">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 xml:space="preserve">Решение о прекращении и приостановке применения Ланиба может быть принято, когда уровень развивающихся токсических эффектов больше или равен 2 степени по </w:t>
      </w:r>
      <w:r w:rsidRPr="002E17FD">
        <w:rPr>
          <w:rFonts w:ascii="Times New Roman" w:hAnsi="Times New Roman"/>
          <w:sz w:val="24"/>
          <w:szCs w:val="24"/>
          <w:lang w:val="ru"/>
        </w:rPr>
        <w:lastRenderedPageBreak/>
        <w:t xml:space="preserve">классификации нежелательных явлений Национального Онкологического Института. Если уровень токсических эффектов снизился до 1 степени и меньше, лечение может быть возобновлено с дозы 1000 мг/сутки при назначении с трастузумабом, 1250 мг/сутки при назначении с капецитабином или 1500 мг/сутки при назначении с ингибитором ароматазы. В случае повторного возникновения токсических эффектов лечение Ланибом должно возобновляться в более низкой дозе (750 мг/сутки при введении с трастузумабом, 1000 мг/сутки при введении с капецитабином или 1250 мг/сутки при введении с ингибитором ароматазы). </w:t>
      </w:r>
    </w:p>
    <w:p w14:paraId="7ED282C9" w14:textId="77777777" w:rsidR="003874D2" w:rsidRPr="002E17FD" w:rsidRDefault="003874D2" w:rsidP="003874D2">
      <w:pPr>
        <w:spacing w:after="0" w:line="240" w:lineRule="auto"/>
        <w:jc w:val="both"/>
        <w:rPr>
          <w:rFonts w:ascii="Times New Roman" w:eastAsia="Times New Roman" w:hAnsi="Times New Roman"/>
          <w:b/>
          <w:sz w:val="24"/>
          <w:szCs w:val="24"/>
          <w:lang w:eastAsia="ru-RU"/>
        </w:rPr>
      </w:pPr>
      <w:r w:rsidRPr="002E17FD">
        <w:rPr>
          <w:rFonts w:ascii="Times New Roman" w:eastAsia="Times New Roman" w:hAnsi="Times New Roman"/>
          <w:b/>
          <w:sz w:val="24"/>
          <w:szCs w:val="24"/>
          <w:lang w:eastAsia="ru-RU"/>
        </w:rPr>
        <w:t>Особые группы пациентов</w:t>
      </w:r>
    </w:p>
    <w:p w14:paraId="6CF04ECE" w14:textId="77777777" w:rsidR="00401F77" w:rsidRPr="002E17FD" w:rsidRDefault="00401F77" w:rsidP="003874D2">
      <w:pPr>
        <w:spacing w:after="0" w:line="240" w:lineRule="auto"/>
        <w:jc w:val="both"/>
        <w:rPr>
          <w:rFonts w:ascii="Times New Roman" w:hAnsi="Times New Roman"/>
          <w:sz w:val="24"/>
          <w:szCs w:val="24"/>
        </w:rPr>
      </w:pPr>
      <w:r w:rsidRPr="002E17FD">
        <w:rPr>
          <w:rFonts w:ascii="Times New Roman" w:hAnsi="Times New Roman"/>
          <w:i/>
          <w:iCs/>
          <w:sz w:val="24"/>
          <w:szCs w:val="24"/>
          <w:lang w:val="ru"/>
        </w:rPr>
        <w:t xml:space="preserve">Пациенты с нарушением функции почек </w:t>
      </w:r>
    </w:p>
    <w:p w14:paraId="5A0C235B" w14:textId="310691CD" w:rsidR="00401F77" w:rsidRPr="002E17FD" w:rsidRDefault="00401F77" w:rsidP="00401F77">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Для пациентов с незначительным и умеренным нарушением функции почек корректировка дозы не требуется. Рекомендуется уделять особое внимание пациентам с тяжелым нарушением функции почек, так как опыт использования Ланиба в данной группе пациентов отсутствует</w:t>
      </w:r>
      <w:r w:rsidR="009F2D85" w:rsidRPr="002E17FD">
        <w:rPr>
          <w:rFonts w:ascii="Times New Roman" w:hAnsi="Times New Roman"/>
          <w:sz w:val="24"/>
          <w:szCs w:val="24"/>
          <w:lang w:val="ru"/>
        </w:rPr>
        <w:t xml:space="preserve"> (см. раздел 5.2)</w:t>
      </w:r>
      <w:r w:rsidRPr="002E17FD">
        <w:rPr>
          <w:rFonts w:ascii="Times New Roman" w:hAnsi="Times New Roman"/>
          <w:sz w:val="24"/>
          <w:szCs w:val="24"/>
          <w:lang w:val="ru"/>
        </w:rPr>
        <w:t xml:space="preserve">. </w:t>
      </w:r>
    </w:p>
    <w:p w14:paraId="1EB530E7" w14:textId="77777777" w:rsidR="00401F77" w:rsidRPr="002E17FD" w:rsidRDefault="00401F77" w:rsidP="00401F77">
      <w:pPr>
        <w:spacing w:after="0" w:line="240" w:lineRule="auto"/>
        <w:ind w:left="-5"/>
        <w:jc w:val="both"/>
        <w:rPr>
          <w:rFonts w:ascii="Times New Roman" w:hAnsi="Times New Roman"/>
          <w:sz w:val="24"/>
          <w:szCs w:val="24"/>
        </w:rPr>
      </w:pPr>
      <w:r w:rsidRPr="002E17FD">
        <w:rPr>
          <w:rFonts w:ascii="Times New Roman" w:hAnsi="Times New Roman"/>
          <w:i/>
          <w:iCs/>
          <w:sz w:val="24"/>
          <w:szCs w:val="24"/>
          <w:lang w:val="ru"/>
        </w:rPr>
        <w:t xml:space="preserve">Нарушение функции печени </w:t>
      </w:r>
    </w:p>
    <w:p w14:paraId="2821D567" w14:textId="0BF41394" w:rsidR="00401F77" w:rsidRPr="002E17FD" w:rsidRDefault="00401F77" w:rsidP="00401F77">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Пациентам с тяжелым нарушением функции печени необходимо отменить терапию Ланибом без последующего возобновления приема</w:t>
      </w:r>
      <w:r w:rsidR="009F2D85" w:rsidRPr="002E17FD">
        <w:rPr>
          <w:rFonts w:ascii="Times New Roman" w:hAnsi="Times New Roman"/>
          <w:sz w:val="24"/>
          <w:szCs w:val="24"/>
          <w:lang w:val="ru"/>
        </w:rPr>
        <w:t xml:space="preserve"> (см. раздел 4.4)</w:t>
      </w:r>
      <w:r w:rsidRPr="002E17FD">
        <w:rPr>
          <w:rFonts w:ascii="Times New Roman" w:hAnsi="Times New Roman"/>
          <w:sz w:val="24"/>
          <w:szCs w:val="24"/>
          <w:lang w:val="ru"/>
        </w:rPr>
        <w:t xml:space="preserve">. </w:t>
      </w:r>
    </w:p>
    <w:p w14:paraId="35048ED6" w14:textId="11FE7962" w:rsidR="00401F77" w:rsidRPr="002E17FD" w:rsidRDefault="00401F77" w:rsidP="00401F77">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Пациентам со средней и тяжелой степенью нарушения функции печени следует соблюдать осторожность при приеме Ланиба в связи с увеличением экспозиции лекарственного средства. В связи с недостаточностью данных нет возможности предоставить рекомендации по корректировке дозы у пациентов с нарушением функции печени</w:t>
      </w:r>
      <w:r w:rsidR="009F2D85" w:rsidRPr="002E17FD">
        <w:rPr>
          <w:rFonts w:ascii="Times New Roman" w:hAnsi="Times New Roman"/>
          <w:sz w:val="24"/>
          <w:szCs w:val="24"/>
          <w:lang w:val="ru"/>
        </w:rPr>
        <w:t xml:space="preserve"> (см. раздел 5.2)</w:t>
      </w:r>
      <w:r w:rsidRPr="002E17FD">
        <w:rPr>
          <w:rFonts w:ascii="Times New Roman" w:hAnsi="Times New Roman"/>
          <w:sz w:val="24"/>
          <w:szCs w:val="24"/>
          <w:lang w:val="ru"/>
        </w:rPr>
        <w:t xml:space="preserve">. </w:t>
      </w:r>
    </w:p>
    <w:p w14:paraId="0AE866FC" w14:textId="77777777" w:rsidR="00401F77" w:rsidRPr="002E17FD" w:rsidRDefault="00401F77" w:rsidP="00401F77">
      <w:pPr>
        <w:spacing w:after="0" w:line="240" w:lineRule="auto"/>
        <w:ind w:left="-5" w:right="7"/>
        <w:jc w:val="both"/>
        <w:rPr>
          <w:rFonts w:ascii="Times New Roman" w:hAnsi="Times New Roman"/>
          <w:sz w:val="24"/>
          <w:szCs w:val="24"/>
        </w:rPr>
      </w:pPr>
      <w:r w:rsidRPr="002E17FD">
        <w:rPr>
          <w:rFonts w:ascii="Times New Roman" w:hAnsi="Times New Roman"/>
          <w:i/>
          <w:iCs/>
          <w:sz w:val="24"/>
          <w:szCs w:val="24"/>
          <w:lang w:val="ru"/>
        </w:rPr>
        <w:t xml:space="preserve">Пожилые пациенты </w:t>
      </w:r>
    </w:p>
    <w:p w14:paraId="10C390B7" w14:textId="0B3149BA" w:rsidR="00401F77" w:rsidRPr="002E17FD" w:rsidRDefault="00401F77" w:rsidP="00401F77">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 xml:space="preserve">Данные по применению </w:t>
      </w:r>
      <w:r w:rsidR="004B53D1" w:rsidRPr="002E17FD">
        <w:rPr>
          <w:rFonts w:ascii="Times New Roman" w:hAnsi="Times New Roman"/>
          <w:sz w:val="24"/>
          <w:szCs w:val="24"/>
          <w:lang w:val="ru"/>
        </w:rPr>
        <w:t xml:space="preserve">лапатиниба </w:t>
      </w:r>
      <w:r w:rsidRPr="002E17FD">
        <w:rPr>
          <w:rFonts w:ascii="Times New Roman" w:hAnsi="Times New Roman"/>
          <w:sz w:val="24"/>
          <w:szCs w:val="24"/>
          <w:lang w:val="ru"/>
        </w:rPr>
        <w:t xml:space="preserve">в сочетании с капецитабином и </w:t>
      </w:r>
      <w:r w:rsidR="004B53D1" w:rsidRPr="002E17FD">
        <w:rPr>
          <w:rFonts w:ascii="Times New Roman" w:hAnsi="Times New Roman"/>
          <w:sz w:val="24"/>
          <w:szCs w:val="24"/>
          <w:lang w:val="ru"/>
        </w:rPr>
        <w:t xml:space="preserve">лапатиниба </w:t>
      </w:r>
      <w:r w:rsidRPr="002E17FD">
        <w:rPr>
          <w:rFonts w:ascii="Times New Roman" w:hAnsi="Times New Roman"/>
          <w:sz w:val="24"/>
          <w:szCs w:val="24"/>
          <w:lang w:val="ru"/>
        </w:rPr>
        <w:t xml:space="preserve">в сочетании с трастузумабом у пациентов ≥ 65 лет ограничены. </w:t>
      </w:r>
    </w:p>
    <w:p w14:paraId="399374AD" w14:textId="172EF66B" w:rsidR="00AA1665" w:rsidRPr="002E17FD" w:rsidRDefault="00401F77" w:rsidP="00401F77">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 xml:space="preserve">В клиническом исследовании </w:t>
      </w:r>
      <w:r w:rsidR="004B53D1" w:rsidRPr="002E17FD">
        <w:rPr>
          <w:rFonts w:ascii="Times New Roman" w:hAnsi="Times New Roman"/>
          <w:sz w:val="24"/>
          <w:szCs w:val="24"/>
          <w:lang w:val="ru"/>
        </w:rPr>
        <w:t>лапатиниба</w:t>
      </w:r>
      <w:r w:rsidRPr="002E17FD">
        <w:rPr>
          <w:rFonts w:ascii="Times New Roman" w:hAnsi="Times New Roman"/>
          <w:sz w:val="24"/>
          <w:szCs w:val="24"/>
          <w:lang w:val="ru"/>
        </w:rPr>
        <w:t xml:space="preserve"> фазы III в сочетании с летрозолом из общего числа пациентов с гормонально позитивным метастатическим раком молочной железы (популяция больных, включенных в испытание N = 642), 44% составляли пациенты в возрасте ≥ 65 лет. Не отмечено различий в эффективности и безопасности применения </w:t>
      </w:r>
      <w:r w:rsidR="004B53D1" w:rsidRPr="002E17FD">
        <w:rPr>
          <w:rFonts w:ascii="Times New Roman" w:hAnsi="Times New Roman"/>
          <w:sz w:val="24"/>
          <w:szCs w:val="24"/>
          <w:lang w:val="ru"/>
        </w:rPr>
        <w:t xml:space="preserve">лапатиниба </w:t>
      </w:r>
      <w:r w:rsidRPr="002E17FD">
        <w:rPr>
          <w:rFonts w:ascii="Times New Roman" w:hAnsi="Times New Roman"/>
          <w:sz w:val="24"/>
          <w:szCs w:val="24"/>
          <w:lang w:val="ru"/>
        </w:rPr>
        <w:t xml:space="preserve">в сочетании с летрозолом у этих пациентов и пациентов &lt; 65 лет. </w:t>
      </w:r>
    </w:p>
    <w:p w14:paraId="68EFF387" w14:textId="77777777" w:rsidR="00401F77" w:rsidRPr="002E17FD" w:rsidRDefault="00401F77" w:rsidP="00401F77">
      <w:pPr>
        <w:spacing w:after="0" w:line="240" w:lineRule="auto"/>
        <w:ind w:left="-5" w:right="7"/>
        <w:jc w:val="both"/>
        <w:rPr>
          <w:rFonts w:ascii="Times New Roman" w:hAnsi="Times New Roman"/>
          <w:sz w:val="24"/>
          <w:szCs w:val="24"/>
        </w:rPr>
      </w:pPr>
      <w:r w:rsidRPr="002E17FD">
        <w:rPr>
          <w:rFonts w:ascii="Times New Roman" w:hAnsi="Times New Roman"/>
          <w:i/>
          <w:iCs/>
          <w:sz w:val="24"/>
          <w:szCs w:val="24"/>
          <w:lang w:val="ru"/>
        </w:rPr>
        <w:t xml:space="preserve">Педиатрическая популяция </w:t>
      </w:r>
    </w:p>
    <w:p w14:paraId="585E6459" w14:textId="77777777" w:rsidR="00401F77" w:rsidRPr="002E17FD" w:rsidRDefault="00401F77" w:rsidP="00401F77">
      <w:pPr>
        <w:spacing w:after="0" w:line="240" w:lineRule="auto"/>
        <w:ind w:left="-5" w:right="7"/>
        <w:jc w:val="both"/>
        <w:rPr>
          <w:sz w:val="24"/>
          <w:szCs w:val="24"/>
          <w:lang w:val="ru"/>
        </w:rPr>
      </w:pPr>
      <w:r w:rsidRPr="002E17FD">
        <w:rPr>
          <w:rFonts w:ascii="Times New Roman" w:hAnsi="Times New Roman"/>
          <w:sz w:val="24"/>
          <w:szCs w:val="24"/>
          <w:lang w:val="ru"/>
        </w:rPr>
        <w:t xml:space="preserve">Безопасность и эффективность применения </w:t>
      </w:r>
      <w:r w:rsidR="00210AB2" w:rsidRPr="002E17FD">
        <w:rPr>
          <w:rFonts w:ascii="Times New Roman" w:hAnsi="Times New Roman"/>
          <w:sz w:val="24"/>
          <w:szCs w:val="24"/>
          <w:lang w:val="ru"/>
        </w:rPr>
        <w:t>лапатиниба</w:t>
      </w:r>
      <w:r w:rsidRPr="002E17FD">
        <w:rPr>
          <w:rFonts w:ascii="Times New Roman" w:hAnsi="Times New Roman"/>
          <w:sz w:val="24"/>
          <w:szCs w:val="24"/>
          <w:lang w:val="ru"/>
        </w:rPr>
        <w:t xml:space="preserve"> у детей в возрасте до 18 лет не была установлена</w:t>
      </w:r>
      <w:r w:rsidRPr="002E17FD">
        <w:rPr>
          <w:sz w:val="24"/>
          <w:szCs w:val="24"/>
          <w:lang w:val="ru"/>
        </w:rPr>
        <w:t xml:space="preserve">. </w:t>
      </w:r>
      <w:r w:rsidRPr="002E17FD">
        <w:rPr>
          <w:rFonts w:ascii="Times New Roman" w:hAnsi="Times New Roman"/>
          <w:sz w:val="24"/>
          <w:szCs w:val="24"/>
          <w:lang w:val="ru"/>
        </w:rPr>
        <w:t>Нет данных.</w:t>
      </w:r>
      <w:r w:rsidRPr="002E17FD">
        <w:rPr>
          <w:sz w:val="24"/>
          <w:szCs w:val="24"/>
          <w:lang w:val="ru"/>
        </w:rPr>
        <w:t xml:space="preserve"> </w:t>
      </w:r>
    </w:p>
    <w:p w14:paraId="383C9029" w14:textId="77777777" w:rsidR="009F5A85" w:rsidRPr="002E17FD" w:rsidRDefault="009F5A85" w:rsidP="0078568D">
      <w:pPr>
        <w:spacing w:after="0" w:line="240" w:lineRule="auto"/>
        <w:jc w:val="both"/>
        <w:rPr>
          <w:rFonts w:ascii="Times New Roman" w:hAnsi="Times New Roman"/>
          <w:b/>
          <w:sz w:val="24"/>
          <w:szCs w:val="24"/>
          <w:lang w:bidi="ru-RU"/>
        </w:rPr>
      </w:pPr>
      <w:r w:rsidRPr="002E17FD">
        <w:rPr>
          <w:rFonts w:ascii="Times New Roman" w:hAnsi="Times New Roman"/>
          <w:b/>
          <w:sz w:val="24"/>
          <w:szCs w:val="24"/>
          <w:lang w:bidi="ru-RU"/>
        </w:rPr>
        <w:t xml:space="preserve">Способ применения </w:t>
      </w:r>
    </w:p>
    <w:p w14:paraId="067348F8" w14:textId="77777777" w:rsidR="00D136FE" w:rsidRPr="002E17FD" w:rsidRDefault="00D136FE" w:rsidP="0078568D">
      <w:pPr>
        <w:spacing w:after="0" w:line="240" w:lineRule="auto"/>
        <w:jc w:val="both"/>
        <w:rPr>
          <w:rFonts w:ascii="Times New Roman" w:hAnsi="Times New Roman"/>
          <w:sz w:val="24"/>
          <w:szCs w:val="24"/>
        </w:rPr>
      </w:pPr>
      <w:r w:rsidRPr="002E17FD">
        <w:rPr>
          <w:rFonts w:ascii="Times New Roman" w:hAnsi="Times New Roman"/>
          <w:sz w:val="24"/>
          <w:szCs w:val="24"/>
        </w:rPr>
        <w:t>Перорально.</w:t>
      </w:r>
    </w:p>
    <w:p w14:paraId="0FC2FDEE" w14:textId="1109E688" w:rsidR="003874D2" w:rsidRPr="002E17FD" w:rsidRDefault="003874D2" w:rsidP="003874D2">
      <w:pPr>
        <w:spacing w:after="0" w:line="240" w:lineRule="auto"/>
        <w:ind w:left="-6" w:right="6"/>
        <w:jc w:val="both"/>
        <w:rPr>
          <w:rFonts w:ascii="Times New Roman" w:hAnsi="Times New Roman"/>
          <w:sz w:val="24"/>
          <w:szCs w:val="24"/>
        </w:rPr>
      </w:pPr>
      <w:r w:rsidRPr="002E17FD">
        <w:rPr>
          <w:rFonts w:ascii="Times New Roman" w:hAnsi="Times New Roman"/>
          <w:sz w:val="24"/>
          <w:szCs w:val="24"/>
          <w:lang w:val="ru"/>
        </w:rPr>
        <w:t>Не следует разделять суточную дозу препарата. Препарат необходимо принимать как минимум за час до или через час после еды. Чтобы свести к минимуму прием препарата в разное время, его следует принимать по стандартному графику в отношении приема пищи, например, всегда принимать за час до еды</w:t>
      </w:r>
      <w:r w:rsidR="004B53D1" w:rsidRPr="002E17FD">
        <w:t xml:space="preserve"> </w:t>
      </w:r>
      <w:r w:rsidR="004B53D1" w:rsidRPr="002E17FD">
        <w:rPr>
          <w:rFonts w:ascii="Times New Roman" w:hAnsi="Times New Roman"/>
          <w:sz w:val="24"/>
          <w:szCs w:val="24"/>
          <w:lang w:val="ru"/>
        </w:rPr>
        <w:t>(см. разделы 4.5 и 5.2).</w:t>
      </w:r>
    </w:p>
    <w:p w14:paraId="469450E7" w14:textId="3E5BB910" w:rsidR="003874D2" w:rsidRPr="002E17FD" w:rsidRDefault="003874D2" w:rsidP="003874D2">
      <w:pPr>
        <w:spacing w:after="0" w:line="240" w:lineRule="auto"/>
        <w:ind w:left="-6" w:right="6"/>
        <w:jc w:val="both"/>
        <w:rPr>
          <w:rFonts w:ascii="Times New Roman" w:hAnsi="Times New Roman"/>
          <w:sz w:val="24"/>
          <w:szCs w:val="24"/>
        </w:rPr>
      </w:pPr>
      <w:r w:rsidRPr="002E17FD">
        <w:rPr>
          <w:rFonts w:ascii="Times New Roman" w:hAnsi="Times New Roman"/>
          <w:sz w:val="24"/>
          <w:szCs w:val="24"/>
          <w:lang w:val="ru"/>
        </w:rPr>
        <w:t>Не следует восполнять пропущенные дозы, т.е. следующую суточную дозу необходимо принять по графику</w:t>
      </w:r>
      <w:r w:rsidR="009F2D85" w:rsidRPr="002E17FD">
        <w:rPr>
          <w:rFonts w:ascii="Times New Roman" w:hAnsi="Times New Roman"/>
          <w:sz w:val="24"/>
          <w:szCs w:val="24"/>
        </w:rPr>
        <w:t xml:space="preserve"> (см. раздел 4.9)</w:t>
      </w:r>
      <w:r w:rsidRPr="002E17FD">
        <w:rPr>
          <w:rFonts w:ascii="Times New Roman" w:hAnsi="Times New Roman"/>
          <w:sz w:val="24"/>
          <w:szCs w:val="24"/>
          <w:lang w:val="ru"/>
        </w:rPr>
        <w:t xml:space="preserve">. </w:t>
      </w:r>
    </w:p>
    <w:p w14:paraId="42F085A9" w14:textId="5FD76F41" w:rsidR="0078568D" w:rsidRPr="002E17FD" w:rsidRDefault="003874D2" w:rsidP="003874D2">
      <w:pPr>
        <w:spacing w:after="0" w:line="240" w:lineRule="auto"/>
        <w:ind w:left="-6" w:right="6"/>
        <w:jc w:val="both"/>
        <w:rPr>
          <w:rFonts w:ascii="Times New Roman" w:hAnsi="Times New Roman"/>
          <w:sz w:val="24"/>
          <w:szCs w:val="24"/>
          <w:lang w:val="ru"/>
        </w:rPr>
      </w:pPr>
      <w:r w:rsidRPr="002E17FD">
        <w:rPr>
          <w:rFonts w:ascii="Times New Roman" w:hAnsi="Times New Roman"/>
          <w:sz w:val="24"/>
          <w:szCs w:val="24"/>
          <w:lang w:val="ru"/>
        </w:rPr>
        <w:t xml:space="preserve">При комбинированной терапии рекомендуется ознакомиться с инструкциями препаратов, назначаемых параллельно, на предмет дозировки, снижения доз, противопоказаний и информации о безопасности. </w:t>
      </w:r>
    </w:p>
    <w:p w14:paraId="66D405A6" w14:textId="77777777" w:rsidR="009F2D85" w:rsidRPr="002E17FD" w:rsidRDefault="009F2D85" w:rsidP="003874D2">
      <w:pPr>
        <w:spacing w:after="0" w:line="240" w:lineRule="auto"/>
        <w:ind w:left="-6" w:right="6"/>
        <w:jc w:val="both"/>
        <w:rPr>
          <w:rFonts w:ascii="Times New Roman" w:hAnsi="Times New Roman"/>
          <w:sz w:val="24"/>
          <w:szCs w:val="24"/>
        </w:rPr>
      </w:pPr>
    </w:p>
    <w:p w14:paraId="204472C6" w14:textId="77777777" w:rsidR="007D0E84" w:rsidRPr="002E17FD" w:rsidRDefault="00DB406A" w:rsidP="0078568D">
      <w:pPr>
        <w:spacing w:after="0" w:line="240" w:lineRule="auto"/>
        <w:jc w:val="both"/>
        <w:rPr>
          <w:rFonts w:ascii="Times New Roman" w:eastAsia="Times New Roman" w:hAnsi="Times New Roman"/>
          <w:b/>
          <w:sz w:val="24"/>
          <w:szCs w:val="24"/>
          <w:lang w:eastAsia="ru-RU"/>
        </w:rPr>
      </w:pPr>
      <w:r w:rsidRPr="002E17FD">
        <w:rPr>
          <w:rFonts w:ascii="Times New Roman" w:eastAsia="Times New Roman" w:hAnsi="Times New Roman"/>
          <w:b/>
          <w:sz w:val="24"/>
          <w:szCs w:val="24"/>
          <w:lang w:eastAsia="ru-RU"/>
        </w:rPr>
        <w:t>4.</w:t>
      </w:r>
      <w:r w:rsidR="00566737" w:rsidRPr="002E17FD">
        <w:rPr>
          <w:rFonts w:ascii="Times New Roman" w:eastAsia="Times New Roman" w:hAnsi="Times New Roman"/>
          <w:b/>
          <w:sz w:val="24"/>
          <w:szCs w:val="24"/>
          <w:lang w:eastAsia="ru-RU"/>
        </w:rPr>
        <w:t>3</w:t>
      </w:r>
      <w:r w:rsidRPr="002E17FD">
        <w:rPr>
          <w:rFonts w:ascii="Times New Roman" w:eastAsia="Times New Roman" w:hAnsi="Times New Roman"/>
          <w:b/>
          <w:sz w:val="24"/>
          <w:szCs w:val="24"/>
          <w:lang w:eastAsia="ru-RU"/>
        </w:rPr>
        <w:t xml:space="preserve"> </w:t>
      </w:r>
      <w:r w:rsidR="007D0E84" w:rsidRPr="002E17FD">
        <w:rPr>
          <w:rFonts w:ascii="Times New Roman" w:eastAsia="Times New Roman" w:hAnsi="Times New Roman"/>
          <w:b/>
          <w:sz w:val="24"/>
          <w:szCs w:val="24"/>
          <w:lang w:eastAsia="ru-RU"/>
        </w:rPr>
        <w:t>Противопоказания</w:t>
      </w:r>
    </w:p>
    <w:p w14:paraId="7CF3C941" w14:textId="77777777" w:rsidR="007D0E84" w:rsidRPr="002E17FD" w:rsidRDefault="008D20BD" w:rsidP="0078568D">
      <w:pPr>
        <w:autoSpaceDE w:val="0"/>
        <w:autoSpaceDN w:val="0"/>
        <w:spacing w:after="0" w:line="240" w:lineRule="auto"/>
        <w:jc w:val="both"/>
        <w:rPr>
          <w:rFonts w:ascii="Times New Roman" w:hAnsi="Times New Roman"/>
          <w:sz w:val="24"/>
          <w:szCs w:val="24"/>
        </w:rPr>
      </w:pPr>
      <w:r w:rsidRPr="002E17FD">
        <w:rPr>
          <w:rFonts w:ascii="Times New Roman" w:hAnsi="Times New Roman"/>
          <w:sz w:val="24"/>
          <w:szCs w:val="24"/>
        </w:rPr>
        <w:t>Повышенная чувствительность к активному веществу или к любому из вспомогательных веществ, перечисленных в разделе 6.1.</w:t>
      </w:r>
    </w:p>
    <w:p w14:paraId="2F7CACB7" w14:textId="77777777" w:rsidR="008D20BD" w:rsidRPr="002E17FD" w:rsidRDefault="008D20BD" w:rsidP="0078568D">
      <w:pPr>
        <w:autoSpaceDE w:val="0"/>
        <w:autoSpaceDN w:val="0"/>
        <w:spacing w:after="0" w:line="240" w:lineRule="auto"/>
        <w:jc w:val="both"/>
        <w:rPr>
          <w:rFonts w:ascii="Times New Roman" w:eastAsia="Times New Roman" w:hAnsi="Times New Roman"/>
          <w:sz w:val="24"/>
          <w:szCs w:val="24"/>
          <w:lang w:eastAsia="ru-RU"/>
        </w:rPr>
      </w:pPr>
    </w:p>
    <w:p w14:paraId="5CFAA3BF" w14:textId="77777777" w:rsidR="00B10089" w:rsidRPr="002E17FD" w:rsidRDefault="00DB406A" w:rsidP="0078568D">
      <w:pPr>
        <w:spacing w:after="0" w:line="240" w:lineRule="auto"/>
        <w:jc w:val="both"/>
        <w:rPr>
          <w:rFonts w:ascii="Times New Roman" w:eastAsia="Times New Roman" w:hAnsi="Times New Roman"/>
          <w:b/>
          <w:sz w:val="24"/>
          <w:szCs w:val="24"/>
          <w:lang w:eastAsia="ru-RU"/>
        </w:rPr>
      </w:pPr>
      <w:r w:rsidRPr="002E17FD">
        <w:rPr>
          <w:rFonts w:ascii="Times New Roman" w:eastAsia="Times New Roman" w:hAnsi="Times New Roman"/>
          <w:b/>
          <w:sz w:val="24"/>
          <w:szCs w:val="24"/>
          <w:lang w:eastAsia="ru-RU"/>
        </w:rPr>
        <w:t>4.</w:t>
      </w:r>
      <w:r w:rsidR="009F72B0" w:rsidRPr="002E17FD">
        <w:rPr>
          <w:rFonts w:ascii="Times New Roman" w:eastAsia="Times New Roman" w:hAnsi="Times New Roman"/>
          <w:b/>
          <w:sz w:val="24"/>
          <w:szCs w:val="24"/>
          <w:lang w:eastAsia="ru-RU"/>
        </w:rPr>
        <w:t>4</w:t>
      </w:r>
      <w:r w:rsidRPr="002E17FD">
        <w:rPr>
          <w:rFonts w:ascii="Times New Roman" w:eastAsia="Times New Roman" w:hAnsi="Times New Roman"/>
          <w:b/>
          <w:sz w:val="24"/>
          <w:szCs w:val="24"/>
          <w:lang w:eastAsia="ru-RU"/>
        </w:rPr>
        <w:t xml:space="preserve"> </w:t>
      </w:r>
      <w:r w:rsidR="00566737" w:rsidRPr="002E17FD">
        <w:rPr>
          <w:rFonts w:ascii="Times New Roman" w:hAnsi="Times New Roman"/>
          <w:b/>
          <w:sz w:val="24"/>
          <w:szCs w:val="24"/>
          <w:lang w:bidi="ru-RU"/>
        </w:rPr>
        <w:t xml:space="preserve">Особые указания и </w:t>
      </w:r>
      <w:r w:rsidR="007D0E84" w:rsidRPr="002E17FD">
        <w:rPr>
          <w:rFonts w:ascii="Times New Roman" w:eastAsia="Times New Roman" w:hAnsi="Times New Roman"/>
          <w:b/>
          <w:sz w:val="24"/>
          <w:szCs w:val="24"/>
          <w:lang w:eastAsia="ru-RU"/>
        </w:rPr>
        <w:t xml:space="preserve">меры </w:t>
      </w:r>
      <w:r w:rsidR="00D9686A" w:rsidRPr="002E17FD">
        <w:rPr>
          <w:rFonts w:ascii="Times New Roman" w:eastAsia="Times New Roman" w:hAnsi="Times New Roman"/>
          <w:b/>
          <w:sz w:val="24"/>
          <w:szCs w:val="24"/>
          <w:lang w:eastAsia="ru-RU"/>
        </w:rPr>
        <w:t>предосторожности при применении</w:t>
      </w:r>
    </w:p>
    <w:p w14:paraId="1668CA3B" w14:textId="77777777" w:rsidR="008D20BD" w:rsidRPr="002E17FD" w:rsidRDefault="008D20BD" w:rsidP="008D20BD">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 xml:space="preserve">Согласно имеющимся данным Ланиб в сочетании с химиотерапией является менее эффективным, чем трастузумаб в сочетании с химиотерапией. </w:t>
      </w:r>
    </w:p>
    <w:p w14:paraId="4D22E5DE" w14:textId="77777777" w:rsidR="008D20BD" w:rsidRPr="002E17FD" w:rsidRDefault="008D20BD" w:rsidP="008D20BD">
      <w:pPr>
        <w:spacing w:after="0" w:line="240" w:lineRule="auto"/>
        <w:ind w:left="-5" w:right="7"/>
        <w:jc w:val="both"/>
        <w:rPr>
          <w:rFonts w:ascii="Times New Roman" w:hAnsi="Times New Roman"/>
          <w:i/>
          <w:sz w:val="24"/>
          <w:szCs w:val="24"/>
        </w:rPr>
      </w:pPr>
      <w:r w:rsidRPr="002E17FD">
        <w:rPr>
          <w:rFonts w:ascii="Times New Roman" w:hAnsi="Times New Roman"/>
          <w:i/>
          <w:sz w:val="24"/>
          <w:szCs w:val="24"/>
          <w:lang w:val="ru"/>
        </w:rPr>
        <w:lastRenderedPageBreak/>
        <w:t xml:space="preserve">Кардиотоксичность </w:t>
      </w:r>
    </w:p>
    <w:p w14:paraId="4ED94479" w14:textId="73B6A59F" w:rsidR="008D20BD" w:rsidRPr="002E17FD" w:rsidRDefault="008D20BD" w:rsidP="008D20BD">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Сообщалось о случаях уменьшения фракции выброса левого желудочка, связанных с приемом лапатиниба</w:t>
      </w:r>
      <w:r w:rsidR="009F2D85" w:rsidRPr="002E17FD">
        <w:rPr>
          <w:rFonts w:ascii="Times New Roman" w:hAnsi="Times New Roman"/>
          <w:sz w:val="24"/>
          <w:szCs w:val="24"/>
          <w:lang w:val="ru"/>
        </w:rPr>
        <w:t xml:space="preserve"> (см. раздел 4.8)</w:t>
      </w:r>
      <w:r w:rsidRPr="002E17FD">
        <w:rPr>
          <w:rFonts w:ascii="Times New Roman" w:hAnsi="Times New Roman"/>
          <w:sz w:val="24"/>
          <w:szCs w:val="24"/>
          <w:lang w:val="ru"/>
        </w:rPr>
        <w:t>. Действие лапатиниба не оценивалось в отношении пациентов с симптомами сердечной недостаточности. Необходимо соблюдать осторожность при назначении Ланиба пациентам с клиническими состояниями, которые могут привести к ухудшению функции левого желудочка (в том числе при совместном введении с потенциально кардиотоксичными препаратами). Перед началом лечения Ланибом всем пациентам необходимо оценить сердечную функцию, а также определить уровень фракции выброса левого желудочка, чтобы убедиться, что уровень фракции выброса левого желудочка находится в пределах допустимых значений. Необходимо продолжать оценивать фракцию выброса левого желудочка во время лечения Ланибом, чтобы фракция выброса левого желудочка не снизилась до неприемлемого уровня</w:t>
      </w:r>
      <w:r w:rsidR="00697931" w:rsidRPr="002E17FD">
        <w:rPr>
          <w:rFonts w:ascii="Times New Roman" w:hAnsi="Times New Roman"/>
          <w:sz w:val="24"/>
          <w:szCs w:val="24"/>
          <w:lang w:val="ru"/>
        </w:rPr>
        <w:t xml:space="preserve"> (см. раздел 4.2)</w:t>
      </w:r>
      <w:r w:rsidRPr="002E17FD">
        <w:rPr>
          <w:rFonts w:ascii="Times New Roman" w:hAnsi="Times New Roman"/>
          <w:sz w:val="24"/>
          <w:szCs w:val="24"/>
          <w:lang w:val="ru"/>
        </w:rPr>
        <w:t xml:space="preserve">. В некоторых случаях снижение фракции выброса левого желудочка может быть очень серьезным и привести к сердечной недостаточности. Сообщалось о смертельных случаях, причина которых не определена. Во время клинических исследований лапатиниба были выявлены осложнения со стороны сердца, в т.ч. снижение фракции выброса левого желудочка, приблизительно у 1% пациентов. Приблизительно у 0,3% пациентов, принимавших лапатиниб, развивались симптомы снижения фракции выброса левого желудочка. При сочетанном применении лапатиниба с трастузумабом согласно схеме лечения метастатических форм развитие сердечных патологий, включая снижение фракции выброса левого желудочка, было выше (7%) по сравнению с назначением лапатиниба в качестве монотерапии (2%) в базовом клиническом исследовании. Тяжесть и природа осложнений со стороны сердца была сравнима с теми, которые были выявлены при применении лапатиниба. </w:t>
      </w:r>
    </w:p>
    <w:p w14:paraId="0024B319" w14:textId="77777777" w:rsidR="008D20BD" w:rsidRPr="002E17FD" w:rsidRDefault="008D20BD" w:rsidP="008D20BD">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 xml:space="preserve">Зависящее от концентрации увеличение интервала QTc было продемонстрировано в специальном перекрестном исследовании с плацебо-контролем, в котором участвовали лица с солидными опухолями высокой стадии. </w:t>
      </w:r>
    </w:p>
    <w:p w14:paraId="1AF77118" w14:textId="5D0E5BA1" w:rsidR="008D20BD" w:rsidRPr="002E17FD" w:rsidRDefault="008D20BD" w:rsidP="008D20BD">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 xml:space="preserve">Необходимо соблюдать осторожность при назначении Ланиба пациентам с клиническими состояниями, которые могут привести к удлинению интервала QTc (включая гипокалиемию, гипомагниемию и синдром врожденного длинного интервала QT), а также при одновременном назначении других медицинских препаратов, о которых известно, что они способствуют удлинению интервала QT, или при наличии клинических состояний, которые увеличивают воздействие лапатиниба, например, при одновременном приеме сильных ингибиторов CYP3A4. Гипокалиемия и гипомагниемия должны быть скорректированы до начала терапии. До начала лечения Ланибом и спустя </w:t>
      </w:r>
      <w:r w:rsidR="00D96EFD" w:rsidRPr="002E17FD">
        <w:rPr>
          <w:rFonts w:ascii="Times New Roman" w:hAnsi="Times New Roman"/>
          <w:sz w:val="24"/>
          <w:szCs w:val="24"/>
          <w:lang w:val="ru"/>
        </w:rPr>
        <w:t xml:space="preserve">одну или </w:t>
      </w:r>
      <w:r w:rsidRPr="002E17FD">
        <w:rPr>
          <w:rFonts w:ascii="Times New Roman" w:hAnsi="Times New Roman"/>
          <w:sz w:val="24"/>
          <w:szCs w:val="24"/>
          <w:lang w:val="ru"/>
        </w:rPr>
        <w:t xml:space="preserve">две недели после начала приема препарата нужно выполнить ЭКГ с измерением интервала QT. При наличии клинических показаний, например, после начала одновременного приема препаратов, которые могут влиять на длину интервала QT или взаимодействовать с лапатинибом, также следует предусмотреть выполнение ЭКГ. </w:t>
      </w:r>
    </w:p>
    <w:p w14:paraId="21BA633D" w14:textId="77777777" w:rsidR="008D20BD" w:rsidRPr="002E17FD" w:rsidRDefault="008D20BD" w:rsidP="008D20BD">
      <w:pPr>
        <w:spacing w:after="0" w:line="240" w:lineRule="auto"/>
        <w:ind w:left="-5" w:right="7"/>
        <w:jc w:val="both"/>
        <w:rPr>
          <w:rFonts w:ascii="Times New Roman" w:hAnsi="Times New Roman"/>
          <w:i/>
          <w:sz w:val="24"/>
          <w:szCs w:val="24"/>
        </w:rPr>
      </w:pPr>
      <w:r w:rsidRPr="002E17FD">
        <w:rPr>
          <w:rFonts w:ascii="Times New Roman" w:hAnsi="Times New Roman"/>
          <w:i/>
          <w:sz w:val="24"/>
          <w:szCs w:val="24"/>
          <w:lang w:val="ru"/>
        </w:rPr>
        <w:t xml:space="preserve">Интерстициальный легочный процесс и пневмонит </w:t>
      </w:r>
    </w:p>
    <w:p w14:paraId="067DE1E5" w14:textId="7D693845" w:rsidR="008D20BD" w:rsidRPr="002E17FD" w:rsidRDefault="008D20BD" w:rsidP="008D20BD">
      <w:pPr>
        <w:spacing w:after="0" w:line="240" w:lineRule="auto"/>
        <w:jc w:val="both"/>
        <w:rPr>
          <w:rFonts w:ascii="Times New Roman" w:hAnsi="Times New Roman"/>
          <w:sz w:val="24"/>
          <w:szCs w:val="24"/>
          <w:lang w:val="ru"/>
        </w:rPr>
      </w:pPr>
      <w:r w:rsidRPr="002E17FD">
        <w:rPr>
          <w:rFonts w:ascii="Times New Roman" w:hAnsi="Times New Roman"/>
          <w:sz w:val="24"/>
          <w:szCs w:val="24"/>
          <w:lang w:val="ru"/>
        </w:rPr>
        <w:t>Сообщалось о случаях легочной токсичности, включая интерстициальное заболевание легких и пневмонит, связанных с применением лапатиниба</w:t>
      </w:r>
      <w:r w:rsidR="00D96EFD" w:rsidRPr="002E17FD">
        <w:t xml:space="preserve"> </w:t>
      </w:r>
      <w:r w:rsidR="00D96EFD" w:rsidRPr="002E17FD">
        <w:rPr>
          <w:rFonts w:ascii="Times New Roman" w:hAnsi="Times New Roman"/>
          <w:sz w:val="24"/>
          <w:szCs w:val="24"/>
          <w:lang w:val="ru"/>
        </w:rPr>
        <w:t>(см. раздел 4.8).</w:t>
      </w:r>
      <w:r w:rsidRPr="002E17FD">
        <w:rPr>
          <w:rFonts w:ascii="Times New Roman" w:hAnsi="Times New Roman"/>
          <w:sz w:val="24"/>
          <w:szCs w:val="24"/>
          <w:lang w:val="ru"/>
        </w:rPr>
        <w:t xml:space="preserve"> Пациенты должны контролироваться на предмет наличия симптомов легочной токсичности (одышка, кашель, лихорадка), и пациентам, которые испытывают симптомы 3 степени или выше (по классификации нежелательных явлений Национального Онкологического Института) следует прекратить лечение препаратом. Легочная токсичность может быть тяжелой и привести к дыхательной недостаточности. Сообщалось о смертельных случаях, причина которых не определена. </w:t>
      </w:r>
    </w:p>
    <w:p w14:paraId="264FD3A7" w14:textId="77777777" w:rsidR="008D20BD" w:rsidRPr="002E17FD" w:rsidRDefault="008D20BD" w:rsidP="008D20BD">
      <w:pPr>
        <w:spacing w:after="0" w:line="240" w:lineRule="auto"/>
        <w:jc w:val="both"/>
        <w:rPr>
          <w:rFonts w:ascii="Times New Roman" w:hAnsi="Times New Roman"/>
          <w:i/>
          <w:sz w:val="24"/>
          <w:szCs w:val="24"/>
        </w:rPr>
      </w:pPr>
      <w:r w:rsidRPr="002E17FD">
        <w:rPr>
          <w:rFonts w:ascii="Times New Roman" w:hAnsi="Times New Roman"/>
          <w:i/>
          <w:sz w:val="24"/>
          <w:szCs w:val="24"/>
          <w:lang w:val="ru"/>
        </w:rPr>
        <w:t xml:space="preserve">Гепатотоксичность </w:t>
      </w:r>
    </w:p>
    <w:p w14:paraId="5F776FC1" w14:textId="77777777" w:rsidR="008D20BD" w:rsidRPr="002E17FD" w:rsidRDefault="008D20BD" w:rsidP="008D20BD">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lastRenderedPageBreak/>
        <w:t xml:space="preserve">Применение Ланиба сопровождается токсическим влиянием препарата на печень, что в редких случаях может привести к летальному исходу. Гепатотоксичность может развиться в период от нескольких дней до нескольких месяцев от начала терапии. Пациенты должны быть предупреждены о возможной гепатотоксичности в начале терапии. Функцию печени (уровень трансаминазы, билирубина и щелочной фосфатазы) следует контролировать до начала лечения, а затем ежемесячно либо по клиническим показаниям. Пациентам с тяжелым нарушением функции печени необходимо отменить терапию Ланибом без последующего возобновления. Риск развития гепатотоксичности, связанный с приемом </w:t>
      </w:r>
      <w:r w:rsidR="00764767" w:rsidRPr="002E17FD">
        <w:rPr>
          <w:rFonts w:ascii="Times New Roman" w:hAnsi="Times New Roman"/>
          <w:sz w:val="24"/>
          <w:szCs w:val="24"/>
          <w:lang w:val="ru"/>
        </w:rPr>
        <w:t>лапатиниба</w:t>
      </w:r>
      <w:r w:rsidRPr="002E17FD">
        <w:rPr>
          <w:rFonts w:ascii="Times New Roman" w:hAnsi="Times New Roman"/>
          <w:sz w:val="24"/>
          <w:szCs w:val="24"/>
          <w:lang w:val="ru"/>
        </w:rPr>
        <w:t xml:space="preserve">, увеличивается у пациентов с носительством аллели HLA DQA1*02:01 и DRB1*07:01. В крупном рандомизированном клиническом исследовании при назначении </w:t>
      </w:r>
      <w:r w:rsidR="00764767" w:rsidRPr="002E17FD">
        <w:rPr>
          <w:rFonts w:ascii="Times New Roman" w:hAnsi="Times New Roman"/>
          <w:sz w:val="24"/>
          <w:szCs w:val="24"/>
          <w:lang w:val="ru"/>
        </w:rPr>
        <w:t xml:space="preserve">лапатиниба </w:t>
      </w:r>
      <w:r w:rsidRPr="002E17FD">
        <w:rPr>
          <w:rFonts w:ascii="Times New Roman" w:hAnsi="Times New Roman"/>
          <w:sz w:val="24"/>
          <w:szCs w:val="24"/>
          <w:lang w:val="ru"/>
        </w:rPr>
        <w:t xml:space="preserve">в качестве монотерапии (n=1,194) общая частота тяжелого поражения печени (АЛТ в 5 раз превышает верхнюю границу нормы, степень 3 по классификации нежелательных явлений Национального Онкологического Института) составила 2,8% на протяжении 1 года лечения. Частота поражения печени у пациентов-носителей аллели DQA1*02:01 и DRB1*07:01 составила 10,3 %, у пациентов с отсутствием данной аллели – 0,5 %. Частота носительства аллели HLA составляет от 15 до 25 % у европейцев, азиатов, африканцев и латиноамериканцев, но незначительна (1%) у японцев. </w:t>
      </w:r>
    </w:p>
    <w:p w14:paraId="040720E6" w14:textId="5241184C" w:rsidR="008D20BD" w:rsidRPr="002E17FD" w:rsidRDefault="008D20BD" w:rsidP="008D20BD">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 xml:space="preserve">Рекомендуется назначать </w:t>
      </w:r>
      <w:r w:rsidR="00323AF8" w:rsidRPr="002E17FD">
        <w:rPr>
          <w:rFonts w:ascii="Times New Roman" w:hAnsi="Times New Roman"/>
          <w:sz w:val="24"/>
          <w:szCs w:val="24"/>
          <w:lang w:val="ru"/>
        </w:rPr>
        <w:t>лапатиниб</w:t>
      </w:r>
      <w:r w:rsidRPr="002E17FD">
        <w:rPr>
          <w:rFonts w:ascii="Times New Roman" w:hAnsi="Times New Roman"/>
          <w:sz w:val="24"/>
          <w:szCs w:val="24"/>
          <w:lang w:val="ru"/>
        </w:rPr>
        <w:t xml:space="preserve"> с осторожностью в случае применения препарата у пациентов с умеренной и тяжелой степенью поражения печени</w:t>
      </w:r>
      <w:r w:rsidR="00282C9A" w:rsidRPr="002E17FD">
        <w:rPr>
          <w:rFonts w:ascii="Times New Roman" w:hAnsi="Times New Roman"/>
          <w:sz w:val="24"/>
          <w:szCs w:val="24"/>
          <w:lang w:val="ru"/>
        </w:rPr>
        <w:t xml:space="preserve"> (см. раздел 4.2 и 5.2)</w:t>
      </w:r>
      <w:r w:rsidRPr="002E17FD">
        <w:rPr>
          <w:rFonts w:ascii="Times New Roman" w:hAnsi="Times New Roman"/>
          <w:sz w:val="24"/>
          <w:szCs w:val="24"/>
          <w:lang w:val="ru"/>
        </w:rPr>
        <w:t xml:space="preserve">. </w:t>
      </w:r>
    </w:p>
    <w:p w14:paraId="480720DD" w14:textId="77777777" w:rsidR="008D20BD" w:rsidRPr="002E17FD" w:rsidRDefault="008D20BD" w:rsidP="008D20BD">
      <w:pPr>
        <w:spacing w:after="0" w:line="240" w:lineRule="auto"/>
        <w:ind w:left="-5" w:right="7"/>
        <w:jc w:val="both"/>
        <w:rPr>
          <w:rFonts w:ascii="Times New Roman" w:hAnsi="Times New Roman"/>
          <w:i/>
          <w:sz w:val="24"/>
          <w:szCs w:val="24"/>
        </w:rPr>
      </w:pPr>
      <w:r w:rsidRPr="002E17FD">
        <w:rPr>
          <w:rFonts w:ascii="Times New Roman" w:hAnsi="Times New Roman"/>
          <w:i/>
          <w:sz w:val="24"/>
          <w:szCs w:val="24"/>
          <w:lang w:val="ru"/>
        </w:rPr>
        <w:t xml:space="preserve">Диарея </w:t>
      </w:r>
    </w:p>
    <w:p w14:paraId="54848DDC" w14:textId="3F469F19" w:rsidR="00387214" w:rsidRPr="002E17FD" w:rsidRDefault="008D20BD" w:rsidP="0019156C">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 xml:space="preserve">Применение </w:t>
      </w:r>
      <w:r w:rsidR="006C5FFF" w:rsidRPr="002E17FD">
        <w:rPr>
          <w:rFonts w:ascii="Times New Roman" w:hAnsi="Times New Roman"/>
          <w:sz w:val="24"/>
          <w:szCs w:val="24"/>
          <w:lang w:val="ru"/>
        </w:rPr>
        <w:t>лапатиниба</w:t>
      </w:r>
      <w:r w:rsidRPr="002E17FD">
        <w:rPr>
          <w:rFonts w:ascii="Times New Roman" w:hAnsi="Times New Roman"/>
          <w:sz w:val="24"/>
          <w:szCs w:val="24"/>
          <w:lang w:val="ru"/>
        </w:rPr>
        <w:t xml:space="preserve"> может приводить к развитию диареи, включая диарею тяжелой степени тяжести</w:t>
      </w:r>
      <w:r w:rsidR="00D3441A" w:rsidRPr="002E17FD">
        <w:rPr>
          <w:rFonts w:ascii="Times New Roman" w:hAnsi="Times New Roman"/>
          <w:sz w:val="24"/>
          <w:szCs w:val="24"/>
          <w:lang w:val="ru"/>
        </w:rPr>
        <w:t xml:space="preserve"> (см. раздел 4.8)</w:t>
      </w:r>
      <w:r w:rsidRPr="002E17FD">
        <w:rPr>
          <w:rFonts w:ascii="Times New Roman" w:hAnsi="Times New Roman"/>
          <w:sz w:val="24"/>
          <w:szCs w:val="24"/>
          <w:lang w:val="ru"/>
        </w:rPr>
        <w:t xml:space="preserve">. Диарея может привести к угрожающим жизни состояниям и к смертельному исходу, если сочетается с дегидратацией, почечной недостаточностью, нейтропенией и/или электролитным дисбалансом. Диарея чаще возникает в начале лечения </w:t>
      </w:r>
      <w:r w:rsidR="006C5FFF" w:rsidRPr="002E17FD">
        <w:rPr>
          <w:rFonts w:ascii="Times New Roman" w:hAnsi="Times New Roman"/>
          <w:sz w:val="24"/>
          <w:szCs w:val="24"/>
          <w:lang w:val="ru"/>
        </w:rPr>
        <w:t>лапатинибом</w:t>
      </w:r>
      <w:r w:rsidRPr="002E17FD">
        <w:rPr>
          <w:rFonts w:ascii="Times New Roman" w:hAnsi="Times New Roman"/>
          <w:sz w:val="24"/>
          <w:szCs w:val="24"/>
          <w:lang w:val="ru"/>
        </w:rPr>
        <w:t>; почти половина пациентов отмечали появление диареи в первые 6 дней от начала лечения. Обычно диарея продолжается в течение 4–5 дней. Ла</w:t>
      </w:r>
      <w:r w:rsidR="006C5FFF" w:rsidRPr="002E17FD">
        <w:rPr>
          <w:rFonts w:ascii="Times New Roman" w:hAnsi="Times New Roman"/>
          <w:sz w:val="24"/>
          <w:szCs w:val="24"/>
          <w:lang w:val="ru"/>
        </w:rPr>
        <w:t>патиниб</w:t>
      </w:r>
      <w:r w:rsidRPr="002E17FD">
        <w:rPr>
          <w:rFonts w:ascii="Times New Roman" w:hAnsi="Times New Roman"/>
          <w:sz w:val="24"/>
          <w:szCs w:val="24"/>
          <w:lang w:val="ru"/>
        </w:rPr>
        <w:t xml:space="preserve">-индуцированная диарея чаще является легкой; тяжелая диарея 3 и 4 степени по классификации нежелательных явлений Национального Онкологического Института выявляется у &lt;10 и &lt;1 % пациентов, соответственно. Необходимо раннее выявление расстройств желудочно-кишечного тракта и его симптомов (лихорадка, спазмы, тошнота, рвота, головокружение, жажда), чтобы определить изменения во время лечения и тех пациентов, которые больше всего подвержены риску диареи. В случае возникновения любых изменений со стороны ЖКТ пациенты должны немедленно сообщить об этом. В случае подозрения на тяжелую диарею необходимо измерить количество нейтрофилов и температуру тела пациента. Рекомендуется назначение антидиарейных препаратов при первом развитии симптомов. При диарее тяжелой степени может потребоваться введение электролитов и жидкости (перорально или внутривенно), назначение антибиотиков, таких как фторхинолоны (особенно в случае диареи, продолжающейся более 24 часов с наличием лихорадки или нейтропении 3–4 степени), приостановка приема или полная отмена </w:t>
      </w:r>
      <w:r w:rsidR="0019156C" w:rsidRPr="002E17FD">
        <w:rPr>
          <w:rFonts w:ascii="Times New Roman" w:hAnsi="Times New Roman"/>
          <w:sz w:val="24"/>
          <w:szCs w:val="24"/>
          <w:lang w:val="ru"/>
        </w:rPr>
        <w:t>лапатиниба</w:t>
      </w:r>
      <w:r w:rsidRPr="002E17FD">
        <w:rPr>
          <w:rFonts w:ascii="Times New Roman" w:hAnsi="Times New Roman"/>
          <w:sz w:val="24"/>
          <w:szCs w:val="24"/>
          <w:lang w:val="ru"/>
        </w:rPr>
        <w:t xml:space="preserve"> (см. раздел 4.2 — приостановка лечения и снижение дозы — диарея). </w:t>
      </w:r>
    </w:p>
    <w:p w14:paraId="7C430703" w14:textId="77777777" w:rsidR="008D20BD" w:rsidRPr="002E17FD" w:rsidRDefault="008D20BD" w:rsidP="008D20BD">
      <w:pPr>
        <w:spacing w:after="0" w:line="240" w:lineRule="auto"/>
        <w:ind w:left="-5" w:right="7"/>
        <w:jc w:val="both"/>
        <w:rPr>
          <w:rFonts w:ascii="Times New Roman" w:hAnsi="Times New Roman"/>
          <w:i/>
          <w:sz w:val="24"/>
          <w:szCs w:val="24"/>
        </w:rPr>
      </w:pPr>
      <w:r w:rsidRPr="002E17FD">
        <w:rPr>
          <w:rFonts w:ascii="Times New Roman" w:hAnsi="Times New Roman"/>
          <w:i/>
          <w:sz w:val="24"/>
          <w:szCs w:val="24"/>
          <w:lang w:val="ru"/>
        </w:rPr>
        <w:t xml:space="preserve">Серьезные кожные реакции </w:t>
      </w:r>
    </w:p>
    <w:p w14:paraId="3270F2FB" w14:textId="77777777" w:rsidR="008D20BD" w:rsidRPr="002E17FD" w:rsidRDefault="008D20BD" w:rsidP="008D20BD">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 xml:space="preserve">Имеются сообщения о серьезных кожных реакциях в ответ на прием </w:t>
      </w:r>
      <w:r w:rsidR="006938A7" w:rsidRPr="002E17FD">
        <w:rPr>
          <w:rFonts w:ascii="Times New Roman" w:hAnsi="Times New Roman"/>
          <w:sz w:val="24"/>
          <w:szCs w:val="24"/>
          <w:lang w:val="ru"/>
        </w:rPr>
        <w:t>лапатиниба</w:t>
      </w:r>
      <w:r w:rsidRPr="002E17FD">
        <w:rPr>
          <w:rFonts w:ascii="Times New Roman" w:hAnsi="Times New Roman"/>
          <w:sz w:val="24"/>
          <w:szCs w:val="24"/>
          <w:lang w:val="ru"/>
        </w:rPr>
        <w:t xml:space="preserve">. Если имеются основания подозревать наличие мультиморфной эритемы или опасных для жизни реакций, таких как синдром Стивенса-Джонсона или токсический эпидермальный некролиз (т. е. прогрессирующая кожная сыпь, зачастую с образованием пузырей и изъязвлением слизистых оболочек), прекратите лечение </w:t>
      </w:r>
      <w:r w:rsidR="00DC4BA7" w:rsidRPr="002E17FD">
        <w:rPr>
          <w:rFonts w:ascii="Times New Roman" w:hAnsi="Times New Roman"/>
          <w:sz w:val="24"/>
          <w:szCs w:val="24"/>
          <w:lang w:val="ru"/>
        </w:rPr>
        <w:t>Ланибом</w:t>
      </w:r>
      <w:r w:rsidRPr="002E17FD">
        <w:rPr>
          <w:rFonts w:ascii="Times New Roman" w:hAnsi="Times New Roman"/>
          <w:sz w:val="24"/>
          <w:szCs w:val="24"/>
          <w:lang w:val="ru"/>
        </w:rPr>
        <w:t xml:space="preserve">. </w:t>
      </w:r>
    </w:p>
    <w:p w14:paraId="32264873" w14:textId="77777777" w:rsidR="008D20BD" w:rsidRPr="002E17FD" w:rsidRDefault="008D20BD" w:rsidP="008D20BD">
      <w:pPr>
        <w:spacing w:after="0" w:line="240" w:lineRule="auto"/>
        <w:ind w:left="-5" w:right="7"/>
        <w:jc w:val="both"/>
        <w:rPr>
          <w:rFonts w:ascii="Times New Roman" w:hAnsi="Times New Roman"/>
          <w:i/>
          <w:sz w:val="24"/>
          <w:szCs w:val="24"/>
        </w:rPr>
      </w:pPr>
      <w:r w:rsidRPr="002E17FD">
        <w:rPr>
          <w:rFonts w:ascii="Times New Roman" w:hAnsi="Times New Roman"/>
          <w:i/>
          <w:sz w:val="24"/>
          <w:szCs w:val="24"/>
          <w:lang w:val="ru"/>
        </w:rPr>
        <w:t xml:space="preserve">Совместное назначение с ингибиторами или индукторами CYP3A4 </w:t>
      </w:r>
    </w:p>
    <w:p w14:paraId="01B61F46" w14:textId="49524138" w:rsidR="008D20BD" w:rsidRPr="002E17FD" w:rsidRDefault="008D20BD" w:rsidP="008D20BD">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Следует избегать сопутствующего лечения с индукторами CYP3A4 из-за риска снижения экспозиции лапатиниба</w:t>
      </w:r>
      <w:r w:rsidR="00973A41" w:rsidRPr="002E17FD">
        <w:rPr>
          <w:rFonts w:ascii="Times New Roman" w:hAnsi="Times New Roman"/>
          <w:sz w:val="24"/>
          <w:szCs w:val="24"/>
          <w:lang w:val="ru"/>
        </w:rPr>
        <w:t xml:space="preserve"> (см. раздел 4.5)</w:t>
      </w:r>
      <w:r w:rsidRPr="002E17FD">
        <w:rPr>
          <w:rFonts w:ascii="Times New Roman" w:hAnsi="Times New Roman"/>
          <w:sz w:val="24"/>
          <w:szCs w:val="24"/>
          <w:lang w:val="ru"/>
        </w:rPr>
        <w:t xml:space="preserve">. </w:t>
      </w:r>
    </w:p>
    <w:p w14:paraId="42DA7C73" w14:textId="167181B6" w:rsidR="008D20BD" w:rsidRPr="002E17FD" w:rsidRDefault="008D20BD" w:rsidP="008D20BD">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lastRenderedPageBreak/>
        <w:t>Следует избегать сопутствующего лечения с сильными ингибиторами CYP3A4 из-за риска увеличения экспозиции лапатиниба</w:t>
      </w:r>
      <w:r w:rsidR="00973A41" w:rsidRPr="002E17FD">
        <w:rPr>
          <w:rFonts w:ascii="Times New Roman" w:hAnsi="Times New Roman"/>
          <w:sz w:val="24"/>
          <w:szCs w:val="24"/>
          <w:lang w:val="ru"/>
        </w:rPr>
        <w:t xml:space="preserve"> (см. раздел 4.5)</w:t>
      </w:r>
      <w:r w:rsidRPr="002E17FD">
        <w:rPr>
          <w:rFonts w:ascii="Times New Roman" w:hAnsi="Times New Roman"/>
          <w:sz w:val="24"/>
          <w:szCs w:val="24"/>
          <w:lang w:val="ru"/>
        </w:rPr>
        <w:t xml:space="preserve">. </w:t>
      </w:r>
    </w:p>
    <w:p w14:paraId="52E50E36" w14:textId="00831A1E" w:rsidR="008D20BD" w:rsidRPr="002E17FD" w:rsidRDefault="008D20BD" w:rsidP="008D20BD">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 xml:space="preserve">Во время лечения </w:t>
      </w:r>
      <w:r w:rsidR="00DC4BA7" w:rsidRPr="002E17FD">
        <w:rPr>
          <w:rFonts w:ascii="Times New Roman" w:hAnsi="Times New Roman"/>
          <w:sz w:val="24"/>
          <w:szCs w:val="24"/>
          <w:lang w:val="ru"/>
        </w:rPr>
        <w:t>Ланибом</w:t>
      </w:r>
      <w:r w:rsidRPr="002E17FD">
        <w:rPr>
          <w:rFonts w:ascii="Times New Roman" w:hAnsi="Times New Roman"/>
          <w:sz w:val="24"/>
          <w:szCs w:val="24"/>
          <w:lang w:val="ru"/>
        </w:rPr>
        <w:t xml:space="preserve"> следует избегать употребления грейпфрутового сока</w:t>
      </w:r>
      <w:r w:rsidR="00973A41" w:rsidRPr="002E17FD">
        <w:rPr>
          <w:rFonts w:ascii="Times New Roman" w:hAnsi="Times New Roman"/>
          <w:sz w:val="24"/>
          <w:szCs w:val="24"/>
          <w:lang w:val="ru"/>
        </w:rPr>
        <w:t xml:space="preserve"> (см. раздел 4.5)</w:t>
      </w:r>
      <w:r w:rsidRPr="002E17FD">
        <w:rPr>
          <w:rFonts w:ascii="Times New Roman" w:hAnsi="Times New Roman"/>
          <w:sz w:val="24"/>
          <w:szCs w:val="24"/>
          <w:lang w:val="ru"/>
        </w:rPr>
        <w:t xml:space="preserve">. </w:t>
      </w:r>
    </w:p>
    <w:p w14:paraId="385F1492" w14:textId="26917A49" w:rsidR="008D20BD" w:rsidRPr="002E17FD" w:rsidRDefault="008D20BD" w:rsidP="008D20BD">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 xml:space="preserve">Совместное применение препарата </w:t>
      </w:r>
      <w:r w:rsidR="00DC4BA7" w:rsidRPr="002E17FD">
        <w:rPr>
          <w:rFonts w:ascii="Times New Roman" w:hAnsi="Times New Roman"/>
          <w:sz w:val="24"/>
          <w:szCs w:val="24"/>
          <w:lang w:val="ru"/>
        </w:rPr>
        <w:t>Ланиб</w:t>
      </w:r>
      <w:r w:rsidRPr="002E17FD">
        <w:rPr>
          <w:rFonts w:ascii="Times New Roman" w:hAnsi="Times New Roman"/>
          <w:sz w:val="24"/>
          <w:szCs w:val="24"/>
          <w:lang w:val="ru"/>
        </w:rPr>
        <w:t xml:space="preserve"> с пероральными препаратами с узким терапевтическим действием, являющимися субстратами CYP3A4 и/или CYP2С8, не рекомендуется</w:t>
      </w:r>
      <w:r w:rsidR="00973A41" w:rsidRPr="002E17FD">
        <w:rPr>
          <w:rFonts w:ascii="Times New Roman" w:hAnsi="Times New Roman"/>
          <w:sz w:val="24"/>
          <w:szCs w:val="24"/>
          <w:lang w:val="ru"/>
        </w:rPr>
        <w:t xml:space="preserve"> (см. раздел 4.5)</w:t>
      </w:r>
      <w:r w:rsidRPr="002E17FD">
        <w:rPr>
          <w:rFonts w:ascii="Times New Roman" w:hAnsi="Times New Roman"/>
          <w:sz w:val="24"/>
          <w:szCs w:val="24"/>
          <w:lang w:val="ru"/>
        </w:rPr>
        <w:t xml:space="preserve">. </w:t>
      </w:r>
    </w:p>
    <w:p w14:paraId="32A4EE8B" w14:textId="00550CF6" w:rsidR="008D20BD" w:rsidRPr="002E17FD" w:rsidRDefault="008D20BD" w:rsidP="008D20BD">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Совместное применение с препаратами, повышающими рН желудочного сока, не рекомендуется, так как это может повлиять на снижение растворимости и всасывания лапатиниба</w:t>
      </w:r>
      <w:r w:rsidR="00973A41" w:rsidRPr="002E17FD">
        <w:rPr>
          <w:rFonts w:ascii="Times New Roman" w:hAnsi="Times New Roman"/>
          <w:sz w:val="24"/>
          <w:szCs w:val="24"/>
          <w:lang w:val="ru"/>
        </w:rPr>
        <w:t xml:space="preserve"> (см. раздел 4.5)</w:t>
      </w:r>
      <w:r w:rsidRPr="002E17FD">
        <w:rPr>
          <w:rFonts w:ascii="Times New Roman" w:hAnsi="Times New Roman"/>
          <w:sz w:val="24"/>
          <w:szCs w:val="24"/>
          <w:lang w:val="ru"/>
        </w:rPr>
        <w:t xml:space="preserve">. </w:t>
      </w:r>
    </w:p>
    <w:p w14:paraId="540C977B" w14:textId="77777777" w:rsidR="00AF721B" w:rsidRPr="002E17FD" w:rsidRDefault="00AF721B" w:rsidP="00AF721B">
      <w:pPr>
        <w:spacing w:after="0" w:line="240" w:lineRule="auto"/>
        <w:rPr>
          <w:rFonts w:ascii="Times New Roman" w:eastAsia="Times New Roman" w:hAnsi="Times New Roman"/>
          <w:i/>
          <w:iCs/>
          <w:sz w:val="24"/>
          <w:szCs w:val="24"/>
          <w:lang w:eastAsia="ru-RU"/>
        </w:rPr>
      </w:pPr>
      <w:r w:rsidRPr="002E17FD">
        <w:rPr>
          <w:rFonts w:ascii="Times New Roman" w:eastAsia="Times New Roman" w:hAnsi="Times New Roman"/>
          <w:i/>
          <w:iCs/>
          <w:sz w:val="24"/>
          <w:szCs w:val="24"/>
          <w:lang w:eastAsia="ru-RU"/>
        </w:rPr>
        <w:t>Содержание натрия</w:t>
      </w:r>
    </w:p>
    <w:p w14:paraId="6AA92E52" w14:textId="6CF6D314" w:rsidR="00AF721B" w:rsidRPr="002E17FD" w:rsidRDefault="00AF721B" w:rsidP="00982B83">
      <w:pPr>
        <w:spacing w:after="0" w:line="240" w:lineRule="auto"/>
        <w:jc w:val="both"/>
        <w:rPr>
          <w:rFonts w:ascii="Times New Roman" w:eastAsia="Times New Roman" w:hAnsi="Times New Roman"/>
          <w:sz w:val="24"/>
          <w:szCs w:val="24"/>
          <w:lang w:eastAsia="ru-RU"/>
        </w:rPr>
      </w:pPr>
      <w:r w:rsidRPr="002E17FD">
        <w:rPr>
          <w:rFonts w:ascii="Times New Roman" w:eastAsia="Times New Roman" w:hAnsi="Times New Roman"/>
          <w:sz w:val="24"/>
          <w:szCs w:val="24"/>
          <w:lang w:eastAsia="ru-RU"/>
        </w:rPr>
        <w:t>Каждая таблетка содержит менее 1 ммоль (23 мг) натрия, то есть практически не содержит натрия.</w:t>
      </w:r>
    </w:p>
    <w:p w14:paraId="52E441F6" w14:textId="77777777" w:rsidR="00AF721B" w:rsidRPr="002E17FD" w:rsidRDefault="00AF721B" w:rsidP="00AF721B">
      <w:pPr>
        <w:spacing w:after="0" w:line="240" w:lineRule="auto"/>
        <w:jc w:val="both"/>
        <w:rPr>
          <w:rFonts w:ascii="Times New Roman" w:eastAsia="Times New Roman" w:hAnsi="Times New Roman"/>
          <w:b/>
          <w:sz w:val="24"/>
          <w:szCs w:val="24"/>
          <w:lang w:eastAsia="ru-RU"/>
        </w:rPr>
      </w:pPr>
    </w:p>
    <w:p w14:paraId="10759C5F" w14:textId="77777777" w:rsidR="007D0E84" w:rsidRPr="002E17FD" w:rsidRDefault="00DB406A" w:rsidP="0078568D">
      <w:pPr>
        <w:spacing w:after="0" w:line="240" w:lineRule="auto"/>
        <w:jc w:val="both"/>
        <w:rPr>
          <w:rFonts w:ascii="Times New Roman" w:eastAsia="Times New Roman" w:hAnsi="Times New Roman"/>
          <w:b/>
          <w:sz w:val="24"/>
          <w:szCs w:val="24"/>
          <w:lang w:eastAsia="ru-RU"/>
        </w:rPr>
      </w:pPr>
      <w:r w:rsidRPr="002E17FD">
        <w:rPr>
          <w:rFonts w:ascii="Times New Roman" w:eastAsia="Times New Roman" w:hAnsi="Times New Roman"/>
          <w:b/>
          <w:sz w:val="24"/>
          <w:szCs w:val="24"/>
          <w:lang w:eastAsia="ru-RU"/>
        </w:rPr>
        <w:t>4.</w:t>
      </w:r>
      <w:r w:rsidR="00B05BD1" w:rsidRPr="002E17FD">
        <w:rPr>
          <w:rFonts w:ascii="Times New Roman" w:eastAsia="Times New Roman" w:hAnsi="Times New Roman"/>
          <w:b/>
          <w:sz w:val="24"/>
          <w:szCs w:val="24"/>
          <w:lang w:eastAsia="ru-RU"/>
        </w:rPr>
        <w:t>5</w:t>
      </w:r>
      <w:r w:rsidRPr="002E17FD">
        <w:rPr>
          <w:rFonts w:ascii="Times New Roman" w:eastAsia="Times New Roman" w:hAnsi="Times New Roman"/>
          <w:b/>
          <w:sz w:val="24"/>
          <w:szCs w:val="24"/>
          <w:lang w:eastAsia="ru-RU"/>
        </w:rPr>
        <w:t xml:space="preserve"> </w:t>
      </w:r>
      <w:r w:rsidR="007D0E84" w:rsidRPr="002E17FD">
        <w:rPr>
          <w:rFonts w:ascii="Times New Roman" w:eastAsia="Times New Roman" w:hAnsi="Times New Roman"/>
          <w:b/>
          <w:sz w:val="24"/>
          <w:szCs w:val="24"/>
          <w:lang w:eastAsia="ru-RU"/>
        </w:rPr>
        <w:t>Взаимодействия с другими лекарственными препаратами</w:t>
      </w:r>
      <w:r w:rsidR="005D66F3" w:rsidRPr="002E17FD">
        <w:rPr>
          <w:rFonts w:ascii="Times New Roman" w:eastAsia="Times New Roman" w:hAnsi="Times New Roman"/>
          <w:b/>
          <w:sz w:val="24"/>
          <w:szCs w:val="24"/>
          <w:lang w:eastAsia="ru-RU"/>
        </w:rPr>
        <w:t xml:space="preserve"> и другие виды взаимодействия</w:t>
      </w:r>
    </w:p>
    <w:p w14:paraId="0AFCB1DF" w14:textId="77777777" w:rsidR="0051495F" w:rsidRPr="002E17FD" w:rsidRDefault="0051495F" w:rsidP="0051495F">
      <w:pPr>
        <w:tabs>
          <w:tab w:val="left" w:pos="426"/>
        </w:tabs>
        <w:adjustRightInd w:val="0"/>
        <w:snapToGrid w:val="0"/>
        <w:spacing w:after="0" w:line="240" w:lineRule="auto"/>
        <w:jc w:val="both"/>
        <w:rPr>
          <w:rFonts w:ascii="Times New Roman" w:hAnsi="Times New Roman"/>
          <w:i/>
          <w:sz w:val="24"/>
          <w:szCs w:val="24"/>
        </w:rPr>
      </w:pPr>
      <w:r w:rsidRPr="002E17FD">
        <w:rPr>
          <w:rFonts w:ascii="Times New Roman" w:hAnsi="Times New Roman"/>
          <w:i/>
          <w:sz w:val="24"/>
          <w:szCs w:val="24"/>
          <w:lang w:val="ru"/>
        </w:rPr>
        <w:t xml:space="preserve">Воздействие других лекарственных средств на лапатиниб </w:t>
      </w:r>
    </w:p>
    <w:p w14:paraId="1B4064D2" w14:textId="57998754" w:rsidR="0051495F" w:rsidRPr="002E17FD" w:rsidRDefault="0051495F" w:rsidP="0051495F">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Ланиб преимущественно метаболизируется посредством CYP3A</w:t>
      </w:r>
      <w:r w:rsidR="00973A41" w:rsidRPr="002E17FD">
        <w:rPr>
          <w:rFonts w:ascii="Times New Roman" w:hAnsi="Times New Roman"/>
          <w:sz w:val="24"/>
          <w:szCs w:val="24"/>
          <w:lang w:val="ru"/>
        </w:rPr>
        <w:t xml:space="preserve"> (см. раздел 5.2)</w:t>
      </w:r>
      <w:r w:rsidRPr="002E17FD">
        <w:rPr>
          <w:rFonts w:ascii="Times New Roman" w:hAnsi="Times New Roman"/>
          <w:sz w:val="24"/>
          <w:szCs w:val="24"/>
          <w:lang w:val="ru"/>
        </w:rPr>
        <w:t xml:space="preserve">. </w:t>
      </w:r>
    </w:p>
    <w:p w14:paraId="10689798" w14:textId="77777777" w:rsidR="0051495F" w:rsidRPr="002E17FD" w:rsidRDefault="0051495F" w:rsidP="0051495F">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 xml:space="preserve">У здоровых пациентов-добровольцев, принимающих кетоконазол, сильный ингибитор CYP3A4, в дозе 200 мг два раза в день в течение 7 дней, наблюдалось 3,6-кратное увеличение системного воздействия лапатиниба (100 мг в сутки) и 1,7-кратное увеличение периода полувыведения. Следует избегать одновременного применения препарата Ланиб и сильных ингибиторов CYP3A (например, ритонавир, саквинавир, телитромицин, кетоконазол, итраконазол, вориконазол, позаконазол, нефазодон). Одновременное применение препарата </w:t>
      </w:r>
      <w:r w:rsidR="0027259D" w:rsidRPr="002E17FD">
        <w:rPr>
          <w:rFonts w:ascii="Times New Roman" w:hAnsi="Times New Roman"/>
          <w:sz w:val="24"/>
          <w:szCs w:val="24"/>
          <w:lang w:val="ru"/>
        </w:rPr>
        <w:t>Ланиб</w:t>
      </w:r>
      <w:r w:rsidRPr="002E17FD">
        <w:rPr>
          <w:rFonts w:ascii="Times New Roman" w:hAnsi="Times New Roman"/>
          <w:sz w:val="24"/>
          <w:szCs w:val="24"/>
          <w:lang w:val="ru"/>
        </w:rPr>
        <w:t xml:space="preserve"> и ингибиторов CYP3A средней степени необходимо соблюдать осторожность и тщательно наблюдать за клиническим состоянием пациента и возможными нежелательными реакциями. </w:t>
      </w:r>
    </w:p>
    <w:p w14:paraId="178C6AC1" w14:textId="77777777" w:rsidR="0051495F" w:rsidRPr="002E17FD" w:rsidRDefault="0051495F" w:rsidP="0051495F">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 xml:space="preserve">У здоровых пациентов-добровольцев, принимающих карбамазепин, индуктор CYP3A4, в дозе 100 мг два раза в день в течение 3 дней и 200 мг два раза в день в течение 17 дней, системное воздействие лапатиниба снизилось приблизительно на 72%. Одновременного применения препарата </w:t>
      </w:r>
      <w:r w:rsidR="0027259D" w:rsidRPr="002E17FD">
        <w:rPr>
          <w:rFonts w:ascii="Times New Roman" w:hAnsi="Times New Roman"/>
          <w:sz w:val="24"/>
          <w:szCs w:val="24"/>
          <w:lang w:val="ru"/>
        </w:rPr>
        <w:t>Ланиб</w:t>
      </w:r>
      <w:r w:rsidRPr="002E17FD">
        <w:rPr>
          <w:rFonts w:ascii="Times New Roman" w:hAnsi="Times New Roman"/>
          <w:sz w:val="24"/>
          <w:szCs w:val="24"/>
          <w:lang w:val="ru"/>
        </w:rPr>
        <w:t xml:space="preserve"> и индукторов CYP3A4 (например, рифампицин, рифабутин, карбамазепин, фенитоин, зверобой продырявленный) следует избегать. </w:t>
      </w:r>
    </w:p>
    <w:p w14:paraId="00E81B00" w14:textId="77777777" w:rsidR="0051495F" w:rsidRPr="002E17FD" w:rsidRDefault="0051495F" w:rsidP="0051495F">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 xml:space="preserve">Лапатиниб является субстратом транспортных белков Pgp и BCRP. Ингибиторы (кетоконазол, итраконазол, хинидин, верапамил, циклоспорин, эритромицин) и индукторы (рифампицин, зверобой продырявленный) этих протеинов и могут изменить экспозицию и/или распределение лапатиниба (см.раздел 5.2). </w:t>
      </w:r>
    </w:p>
    <w:p w14:paraId="63607AE8" w14:textId="77777777" w:rsidR="0051495F" w:rsidRPr="002E17FD" w:rsidRDefault="0051495F" w:rsidP="0051495F">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Растворимость лапатиниба является рН-зависимой. Совместное применение с препаратами, повышающими рН желудочного сока, не рекомендуется, так как это может повлиять на снижение растворимости и всасывания лапатиниба.</w:t>
      </w:r>
      <w:r w:rsidRPr="002E17FD">
        <w:rPr>
          <w:rFonts w:ascii="Times New Roman" w:hAnsi="Times New Roman"/>
          <w:color w:val="0000FF"/>
          <w:sz w:val="24"/>
          <w:szCs w:val="24"/>
          <w:lang w:val="ru"/>
        </w:rPr>
        <w:t xml:space="preserve"> </w:t>
      </w:r>
      <w:r w:rsidRPr="002E17FD">
        <w:rPr>
          <w:rFonts w:ascii="Times New Roman" w:hAnsi="Times New Roman"/>
          <w:sz w:val="24"/>
          <w:szCs w:val="24"/>
          <w:lang w:val="ru"/>
        </w:rPr>
        <w:t xml:space="preserve">Предварительное применение препаратов из группы ингибиторов протоновой помпы (эзомепразол) снижает экспозицию лапатиниба в среднем на 27% (от 6% до 49%). Этот эффект снижается с увеличением возраста приблизительно с 40 до 60 лет. </w:t>
      </w:r>
    </w:p>
    <w:p w14:paraId="0758010F" w14:textId="77777777" w:rsidR="0051495F" w:rsidRPr="002E17FD" w:rsidRDefault="0051495F" w:rsidP="0051495F">
      <w:pPr>
        <w:spacing w:after="0" w:line="240" w:lineRule="auto"/>
        <w:ind w:left="-5" w:right="7"/>
        <w:jc w:val="both"/>
        <w:rPr>
          <w:rFonts w:ascii="Times New Roman" w:hAnsi="Times New Roman"/>
          <w:i/>
          <w:sz w:val="24"/>
          <w:szCs w:val="24"/>
        </w:rPr>
      </w:pPr>
      <w:r w:rsidRPr="002E17FD">
        <w:rPr>
          <w:rFonts w:ascii="Times New Roman" w:hAnsi="Times New Roman"/>
          <w:i/>
          <w:sz w:val="24"/>
          <w:szCs w:val="24"/>
          <w:lang w:val="ru"/>
        </w:rPr>
        <w:t xml:space="preserve">Влияние лапатиниба на другие лекарственные средства </w:t>
      </w:r>
    </w:p>
    <w:p w14:paraId="562D552B" w14:textId="635D9B63" w:rsidR="0051495F" w:rsidRPr="002E17FD" w:rsidRDefault="0051495F" w:rsidP="0051495F">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 xml:space="preserve">Лапатиниб ингибирует CYP3A4 </w:t>
      </w:r>
      <w:r w:rsidRPr="002E17FD">
        <w:rPr>
          <w:rFonts w:ascii="Times New Roman" w:hAnsi="Times New Roman"/>
          <w:i/>
          <w:iCs/>
          <w:sz w:val="24"/>
          <w:szCs w:val="24"/>
          <w:lang w:val="ru"/>
        </w:rPr>
        <w:t>in vitro</w:t>
      </w:r>
      <w:r w:rsidRPr="002E17FD">
        <w:rPr>
          <w:rFonts w:ascii="Times New Roman" w:hAnsi="Times New Roman"/>
          <w:sz w:val="24"/>
          <w:szCs w:val="24"/>
          <w:lang w:val="ru"/>
        </w:rPr>
        <w:t xml:space="preserve"> в клинически значимых концентрациях. Одновременное применение Ланиба с мидазоламом, принимаемым перорально, приводит к увеличению АUC мидазолама приблизительно на 45%). Не наблюдалось клинически значимого увеличения АUC при внутривенном введении мидазолама. </w:t>
      </w:r>
      <w:r w:rsidR="005B7B02" w:rsidRPr="002E17FD">
        <w:rPr>
          <w:rFonts w:ascii="Times New Roman" w:hAnsi="Times New Roman"/>
          <w:sz w:val="24"/>
          <w:szCs w:val="24"/>
          <w:lang w:val="ru"/>
        </w:rPr>
        <w:t>Следует избегать с</w:t>
      </w:r>
      <w:r w:rsidRPr="002E17FD">
        <w:rPr>
          <w:rFonts w:ascii="Times New Roman" w:hAnsi="Times New Roman"/>
          <w:sz w:val="24"/>
          <w:szCs w:val="24"/>
          <w:lang w:val="ru"/>
        </w:rPr>
        <w:t>овместно</w:t>
      </w:r>
      <w:r w:rsidR="005B7B02" w:rsidRPr="002E17FD">
        <w:rPr>
          <w:rFonts w:ascii="Times New Roman" w:hAnsi="Times New Roman"/>
          <w:sz w:val="24"/>
          <w:szCs w:val="24"/>
          <w:lang w:val="ru"/>
        </w:rPr>
        <w:t>го</w:t>
      </w:r>
      <w:r w:rsidRPr="002E17FD">
        <w:rPr>
          <w:rFonts w:ascii="Times New Roman" w:hAnsi="Times New Roman"/>
          <w:sz w:val="24"/>
          <w:szCs w:val="24"/>
          <w:lang w:val="ru"/>
        </w:rPr>
        <w:t xml:space="preserve"> применени</w:t>
      </w:r>
      <w:r w:rsidR="005B7B02" w:rsidRPr="002E17FD">
        <w:rPr>
          <w:rFonts w:ascii="Times New Roman" w:hAnsi="Times New Roman"/>
          <w:sz w:val="24"/>
          <w:szCs w:val="24"/>
          <w:lang w:val="ru"/>
        </w:rPr>
        <w:t>я</w:t>
      </w:r>
      <w:r w:rsidRPr="002E17FD">
        <w:rPr>
          <w:rFonts w:ascii="Times New Roman" w:hAnsi="Times New Roman"/>
          <w:sz w:val="24"/>
          <w:szCs w:val="24"/>
          <w:lang w:val="ru"/>
        </w:rPr>
        <w:t xml:space="preserve"> препарата Ланиб с пероральными препаратами с узким терапевтическим действием, являющимися субстратами CYP3A4 (например, </w:t>
      </w:r>
      <w:r w:rsidR="005B7B02" w:rsidRPr="002E17FD">
        <w:rPr>
          <w:rFonts w:ascii="Times New Roman" w:hAnsi="Times New Roman"/>
          <w:sz w:val="24"/>
          <w:szCs w:val="24"/>
          <w:lang w:val="ru"/>
        </w:rPr>
        <w:t>цизаприд, пимозид и хинидин</w:t>
      </w:r>
      <w:r w:rsidRPr="002E17FD">
        <w:rPr>
          <w:rFonts w:ascii="Times New Roman" w:hAnsi="Times New Roman"/>
          <w:sz w:val="24"/>
          <w:szCs w:val="24"/>
          <w:lang w:val="ru"/>
        </w:rPr>
        <w:t xml:space="preserve">). </w:t>
      </w:r>
    </w:p>
    <w:p w14:paraId="24293FB8" w14:textId="77777777" w:rsidR="0051495F" w:rsidRPr="002E17FD" w:rsidRDefault="0051495F" w:rsidP="0051495F">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lastRenderedPageBreak/>
        <w:t xml:space="preserve">Лапатиниб ингибирует CYP2C8 </w:t>
      </w:r>
      <w:r w:rsidRPr="002E17FD">
        <w:rPr>
          <w:rFonts w:ascii="Times New Roman" w:hAnsi="Times New Roman"/>
          <w:i/>
          <w:iCs/>
          <w:sz w:val="24"/>
          <w:szCs w:val="24"/>
          <w:lang w:val="ru"/>
        </w:rPr>
        <w:t>in vitro</w:t>
      </w:r>
      <w:r w:rsidRPr="002E17FD">
        <w:rPr>
          <w:rFonts w:ascii="Times New Roman" w:hAnsi="Times New Roman"/>
          <w:sz w:val="24"/>
          <w:szCs w:val="24"/>
          <w:lang w:val="ru"/>
        </w:rPr>
        <w:t xml:space="preserve"> в клинически значимых концентрациях. Следует избегать совместного применения препарата Ланиб с препаратами с узким терапевтическим окном, являющимися субстратами CYP2C8 (например, репаглинидом) (см. разделы 4.4 и 5.2). </w:t>
      </w:r>
    </w:p>
    <w:p w14:paraId="5D7E3B4D" w14:textId="77777777" w:rsidR="0051495F" w:rsidRPr="002E17FD" w:rsidRDefault="0051495F" w:rsidP="0051495F">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 xml:space="preserve">Совместное применение лапатиниба и паклитаксела, вводимого внутривенно, увеличивает экспозицию паклитаксела на 23% в связи с ингибированием лапатиниба CYP2C8 и/или Pgp. При совместном применении данных препаратов в клинических исследованиях наблюдалось увеличение частоты и тяжести диареи и нейтропении. Необходимо соблюдать осторожность при совместном применении лапатиниба и паклитаксела. </w:t>
      </w:r>
    </w:p>
    <w:p w14:paraId="4EB5E16C" w14:textId="21F9DB76" w:rsidR="0051495F" w:rsidRPr="002E17FD" w:rsidRDefault="0051495F" w:rsidP="0051495F">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Совместное назначение лапатиниба и доцетаксела, применяемого внутривенно, не оказывало значительного влияния на AUC и C</w:t>
      </w:r>
      <w:r w:rsidRPr="002E17FD">
        <w:rPr>
          <w:rFonts w:ascii="Times New Roman" w:hAnsi="Times New Roman"/>
          <w:sz w:val="24"/>
          <w:szCs w:val="24"/>
          <w:vertAlign w:val="subscript"/>
          <w:lang w:val="ru"/>
        </w:rPr>
        <w:t>max</w:t>
      </w:r>
      <w:r w:rsidRPr="002E17FD">
        <w:rPr>
          <w:rFonts w:ascii="Times New Roman" w:hAnsi="Times New Roman"/>
          <w:sz w:val="24"/>
          <w:szCs w:val="24"/>
          <w:lang w:val="ru"/>
        </w:rPr>
        <w:t xml:space="preserve"> активных субстанций обоих препаратов. Тем не менее, отмечал</w:t>
      </w:r>
      <w:r w:rsidR="00B77017" w:rsidRPr="002E17FD">
        <w:rPr>
          <w:rFonts w:ascii="Times New Roman" w:hAnsi="Times New Roman"/>
          <w:sz w:val="24"/>
          <w:szCs w:val="24"/>
          <w:lang w:val="ru"/>
        </w:rPr>
        <w:t>о</w:t>
      </w:r>
      <w:r w:rsidRPr="002E17FD">
        <w:rPr>
          <w:rFonts w:ascii="Times New Roman" w:hAnsi="Times New Roman"/>
          <w:sz w:val="24"/>
          <w:szCs w:val="24"/>
          <w:lang w:val="ru"/>
        </w:rPr>
        <w:t xml:space="preserve">сь увеличение случаев развития доцетаксел-индуцированной нейтропении. </w:t>
      </w:r>
    </w:p>
    <w:p w14:paraId="3295CE04" w14:textId="77777777" w:rsidR="0051495F" w:rsidRPr="002E17FD" w:rsidRDefault="0051495F" w:rsidP="0051495F">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 xml:space="preserve">При совместном применении </w:t>
      </w:r>
      <w:r w:rsidR="003B3A2C" w:rsidRPr="002E17FD">
        <w:rPr>
          <w:rFonts w:ascii="Times New Roman" w:hAnsi="Times New Roman"/>
          <w:sz w:val="24"/>
          <w:szCs w:val="24"/>
          <w:lang w:val="ru"/>
        </w:rPr>
        <w:t>лапатиниба</w:t>
      </w:r>
      <w:r w:rsidRPr="002E17FD">
        <w:rPr>
          <w:rFonts w:ascii="Times New Roman" w:hAnsi="Times New Roman"/>
          <w:sz w:val="24"/>
          <w:szCs w:val="24"/>
          <w:lang w:val="ru"/>
        </w:rPr>
        <w:t xml:space="preserve"> с иринотеканом (как часть схемы лечения FOLFIRI - комбинированная химиотерапия с фолиновой кислотой, фторурацилом и иринотеканом) наблюдалось увеличение AUC активного метаболита иринотекана SN-38 приблизительно на 40%. Точный механизм этого взаимодействия неизвестен, но предполагается, что это происходит из-за ингибирования лапатинибом одного из транспортных белков. Необходим тщательный мониторинг побочных реакций и рассмотрение возможности снижения дозы иринотекана при совместном применении </w:t>
      </w:r>
      <w:r w:rsidR="0027259D" w:rsidRPr="002E17FD">
        <w:rPr>
          <w:rFonts w:ascii="Times New Roman" w:hAnsi="Times New Roman"/>
          <w:sz w:val="24"/>
          <w:szCs w:val="24"/>
          <w:lang w:val="ru"/>
        </w:rPr>
        <w:t>Ланиба</w:t>
      </w:r>
      <w:r w:rsidRPr="002E17FD">
        <w:rPr>
          <w:rFonts w:ascii="Times New Roman" w:hAnsi="Times New Roman"/>
          <w:sz w:val="24"/>
          <w:szCs w:val="24"/>
          <w:lang w:val="ru"/>
        </w:rPr>
        <w:t xml:space="preserve"> с иринотеканом. </w:t>
      </w:r>
    </w:p>
    <w:p w14:paraId="380D4ADE" w14:textId="77777777" w:rsidR="0051495F" w:rsidRPr="002E17FD" w:rsidRDefault="0051495F" w:rsidP="0051495F">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 xml:space="preserve">Лапатиниб ингибирует транспортный белок Pgp </w:t>
      </w:r>
      <w:r w:rsidRPr="002E17FD">
        <w:rPr>
          <w:rFonts w:ascii="Times New Roman" w:hAnsi="Times New Roman"/>
          <w:i/>
          <w:iCs/>
          <w:sz w:val="24"/>
          <w:szCs w:val="24"/>
          <w:lang w:val="ru"/>
        </w:rPr>
        <w:t>in vitro</w:t>
      </w:r>
      <w:r w:rsidRPr="002E17FD">
        <w:rPr>
          <w:rFonts w:ascii="Times New Roman" w:hAnsi="Times New Roman"/>
          <w:sz w:val="24"/>
          <w:szCs w:val="24"/>
          <w:lang w:val="ru"/>
        </w:rPr>
        <w:t xml:space="preserve"> в клинически значимых концентрациях. Одновременное применение лапатиниба с дигоксином, принимаемым перорально, приводит к увеличению АUC дигоксина приблизительно на 80 %. Следует с осторожностью назначать лапатиниб совместно с препаратами с узким терапевтическим действием, являющихся субстратами Pgp, а также рассмотреть возможность снижения дозы субстрата Pgp. </w:t>
      </w:r>
    </w:p>
    <w:p w14:paraId="70FDF133" w14:textId="5397CB84" w:rsidR="0051495F" w:rsidRPr="002E17FD" w:rsidRDefault="0051495F" w:rsidP="0051495F">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 xml:space="preserve">Лапатиниб ингибирует транспортные белки BCRP и OATP1B1 </w:t>
      </w:r>
      <w:r w:rsidRPr="002E17FD">
        <w:rPr>
          <w:rFonts w:ascii="Times New Roman" w:hAnsi="Times New Roman"/>
          <w:i/>
          <w:iCs/>
          <w:sz w:val="24"/>
          <w:szCs w:val="24"/>
          <w:lang w:val="ru"/>
        </w:rPr>
        <w:t>in vitro</w:t>
      </w:r>
      <w:r w:rsidRPr="002E17FD">
        <w:rPr>
          <w:rFonts w:ascii="Times New Roman" w:hAnsi="Times New Roman"/>
          <w:sz w:val="24"/>
          <w:szCs w:val="24"/>
          <w:lang w:val="ru"/>
        </w:rPr>
        <w:t>. Клиническое значение данных результатов не было определено. Не исключается воздействие лапатиниба на фармакокинетику субстратов BCRP (напр., топотекан) и ОАТР1В1 (напр., розувастатин)</w:t>
      </w:r>
      <w:r w:rsidR="005B7B02" w:rsidRPr="002E17FD">
        <w:rPr>
          <w:rFonts w:ascii="Times New Roman" w:hAnsi="Times New Roman"/>
          <w:sz w:val="24"/>
          <w:szCs w:val="24"/>
          <w:lang w:val="ru"/>
        </w:rPr>
        <w:t xml:space="preserve"> (см. раздел 5.2)</w:t>
      </w:r>
      <w:r w:rsidRPr="002E17FD">
        <w:rPr>
          <w:rFonts w:ascii="Times New Roman" w:hAnsi="Times New Roman"/>
          <w:sz w:val="24"/>
          <w:szCs w:val="24"/>
          <w:lang w:val="ru"/>
        </w:rPr>
        <w:t xml:space="preserve">. </w:t>
      </w:r>
    </w:p>
    <w:p w14:paraId="591B2777" w14:textId="77777777" w:rsidR="0051495F" w:rsidRPr="002E17FD" w:rsidRDefault="0051495F" w:rsidP="0051495F">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 xml:space="preserve">Совместное применение </w:t>
      </w:r>
      <w:r w:rsidR="0027259D" w:rsidRPr="002E17FD">
        <w:rPr>
          <w:rFonts w:ascii="Times New Roman" w:hAnsi="Times New Roman"/>
          <w:sz w:val="24"/>
          <w:szCs w:val="24"/>
          <w:lang w:val="ru"/>
        </w:rPr>
        <w:t>Ланиба</w:t>
      </w:r>
      <w:r w:rsidRPr="002E17FD">
        <w:rPr>
          <w:rFonts w:ascii="Times New Roman" w:hAnsi="Times New Roman"/>
          <w:sz w:val="24"/>
          <w:szCs w:val="24"/>
          <w:lang w:val="ru"/>
        </w:rPr>
        <w:t xml:space="preserve"> с капецитабином, летрозолом или трастузумабом не влияет на фармакокинетические параметры этих препаратов (или метаболитов капецитабина) или лапатиниба. </w:t>
      </w:r>
    </w:p>
    <w:p w14:paraId="01C5D67A" w14:textId="77777777" w:rsidR="0051495F" w:rsidRPr="002E17FD" w:rsidRDefault="0051495F" w:rsidP="0051495F">
      <w:pPr>
        <w:spacing w:after="0" w:line="240" w:lineRule="auto"/>
        <w:ind w:left="-5" w:right="7"/>
        <w:jc w:val="both"/>
        <w:rPr>
          <w:rFonts w:ascii="Times New Roman" w:hAnsi="Times New Roman"/>
          <w:i/>
          <w:sz w:val="24"/>
          <w:szCs w:val="24"/>
        </w:rPr>
      </w:pPr>
      <w:r w:rsidRPr="002E17FD">
        <w:rPr>
          <w:rFonts w:ascii="Times New Roman" w:hAnsi="Times New Roman"/>
          <w:i/>
          <w:sz w:val="24"/>
          <w:szCs w:val="24"/>
          <w:lang w:val="ru"/>
        </w:rPr>
        <w:t xml:space="preserve">Взаимодействие с пищей и напитками </w:t>
      </w:r>
    </w:p>
    <w:p w14:paraId="1DC1BC6C" w14:textId="49E4D1DA" w:rsidR="0051495F" w:rsidRPr="002E17FD" w:rsidRDefault="0051495F" w:rsidP="0051495F">
      <w:pPr>
        <w:spacing w:after="0" w:line="240" w:lineRule="auto"/>
        <w:ind w:left="-5" w:right="180"/>
        <w:jc w:val="both"/>
        <w:rPr>
          <w:rFonts w:ascii="Times New Roman" w:hAnsi="Times New Roman"/>
          <w:sz w:val="24"/>
          <w:szCs w:val="24"/>
        </w:rPr>
      </w:pPr>
      <w:r w:rsidRPr="002E17FD">
        <w:rPr>
          <w:rFonts w:ascii="Times New Roman" w:hAnsi="Times New Roman"/>
          <w:sz w:val="24"/>
          <w:szCs w:val="24"/>
          <w:lang w:val="ru"/>
        </w:rPr>
        <w:t>Биодоступность лапатиниба может возрастать в 4 раза и зависит от насыщенности пищи жирами. В зависимости от типа пищи биодоступность увеличивается приблизительно в 2–3 раза, когда лапатиниб принимают через 1 час после еды по сравнению с приемом лапатиниба за 1 час до первого приема пищи</w:t>
      </w:r>
      <w:r w:rsidR="005B7B02" w:rsidRPr="002E17FD">
        <w:rPr>
          <w:rFonts w:ascii="Times New Roman" w:hAnsi="Times New Roman"/>
          <w:sz w:val="24"/>
          <w:szCs w:val="24"/>
          <w:lang w:val="ru"/>
        </w:rPr>
        <w:t xml:space="preserve"> (см. раздел 4.2 и 5.2)</w:t>
      </w:r>
      <w:r w:rsidRPr="002E17FD">
        <w:rPr>
          <w:rFonts w:ascii="Times New Roman" w:hAnsi="Times New Roman"/>
          <w:sz w:val="24"/>
          <w:szCs w:val="24"/>
          <w:lang w:val="ru"/>
        </w:rPr>
        <w:t>.</w:t>
      </w:r>
      <w:r w:rsidRPr="002E17FD">
        <w:rPr>
          <w:rFonts w:ascii="Times New Roman" w:hAnsi="Times New Roman"/>
          <w:strike/>
          <w:color w:val="FF0000"/>
          <w:sz w:val="24"/>
          <w:szCs w:val="24"/>
          <w:lang w:val="ru"/>
        </w:rPr>
        <w:t xml:space="preserve"> </w:t>
      </w:r>
    </w:p>
    <w:p w14:paraId="2C663442" w14:textId="77777777" w:rsidR="0051495F" w:rsidRPr="002E17FD" w:rsidRDefault="0051495F" w:rsidP="0051495F">
      <w:pPr>
        <w:adjustRightInd w:val="0"/>
        <w:snapToGrid w:val="0"/>
        <w:spacing w:after="0" w:line="240" w:lineRule="auto"/>
        <w:jc w:val="both"/>
        <w:rPr>
          <w:rFonts w:ascii="Times New Roman" w:hAnsi="Times New Roman"/>
          <w:sz w:val="24"/>
          <w:szCs w:val="24"/>
        </w:rPr>
      </w:pPr>
      <w:r w:rsidRPr="002E17FD">
        <w:rPr>
          <w:rFonts w:ascii="Times New Roman" w:hAnsi="Times New Roman"/>
          <w:sz w:val="24"/>
          <w:szCs w:val="24"/>
          <w:lang w:val="ru"/>
        </w:rPr>
        <w:t>Грейпфрутовый сок может ингибировать CYP3A4 в стенках кишечника и приводить к увеличению биодоступности лапатиниба и поэтому не должен применяться вместе с Ланибом</w:t>
      </w:r>
      <w:r w:rsidRPr="002E17FD">
        <w:rPr>
          <w:rFonts w:ascii="Times New Roman" w:hAnsi="Times New Roman"/>
          <w:sz w:val="24"/>
          <w:szCs w:val="24"/>
        </w:rPr>
        <w:t>.</w:t>
      </w:r>
    </w:p>
    <w:p w14:paraId="67EF9B38" w14:textId="77777777" w:rsidR="00CE7F7F" w:rsidRPr="002E17FD" w:rsidRDefault="00CE7F7F" w:rsidP="0078568D">
      <w:pPr>
        <w:spacing w:after="0" w:line="240" w:lineRule="auto"/>
        <w:jc w:val="both"/>
        <w:rPr>
          <w:rFonts w:ascii="Times New Roman" w:eastAsia="Times New Roman" w:hAnsi="Times New Roman"/>
          <w:b/>
          <w:sz w:val="24"/>
          <w:szCs w:val="24"/>
          <w:lang w:val="ru" w:eastAsia="ru-RU"/>
        </w:rPr>
      </w:pPr>
    </w:p>
    <w:p w14:paraId="6E22ABFA" w14:textId="77777777" w:rsidR="00B05BD1" w:rsidRPr="002E17FD" w:rsidRDefault="00B05BD1" w:rsidP="0078568D">
      <w:pPr>
        <w:spacing w:after="0" w:line="240" w:lineRule="auto"/>
        <w:jc w:val="both"/>
        <w:rPr>
          <w:rFonts w:ascii="Times New Roman" w:eastAsia="Times New Roman" w:hAnsi="Times New Roman"/>
          <w:b/>
          <w:sz w:val="24"/>
          <w:szCs w:val="24"/>
          <w:lang w:eastAsia="ru-RU"/>
        </w:rPr>
      </w:pPr>
      <w:r w:rsidRPr="002E17FD">
        <w:rPr>
          <w:rFonts w:ascii="Times New Roman" w:eastAsia="Times New Roman" w:hAnsi="Times New Roman"/>
          <w:b/>
          <w:sz w:val="24"/>
          <w:szCs w:val="24"/>
          <w:lang w:eastAsia="ru-RU"/>
        </w:rPr>
        <w:t xml:space="preserve">4.6 </w:t>
      </w:r>
      <w:r w:rsidRPr="002E17FD">
        <w:rPr>
          <w:rFonts w:ascii="Times New Roman" w:eastAsia="Times New Roman" w:hAnsi="Times New Roman" w:hint="eastAsia"/>
          <w:b/>
          <w:sz w:val="24"/>
          <w:szCs w:val="24"/>
          <w:lang w:eastAsia="ru-RU"/>
        </w:rPr>
        <w:t>Фертильность</w:t>
      </w:r>
      <w:r w:rsidRPr="002E17FD">
        <w:rPr>
          <w:rFonts w:ascii="Times New Roman" w:eastAsia="Times New Roman" w:hAnsi="Times New Roman"/>
          <w:b/>
          <w:sz w:val="24"/>
          <w:szCs w:val="24"/>
          <w:lang w:eastAsia="ru-RU"/>
        </w:rPr>
        <w:t xml:space="preserve">, </w:t>
      </w:r>
      <w:r w:rsidRPr="002E17FD">
        <w:rPr>
          <w:rFonts w:ascii="Times New Roman" w:eastAsia="Times New Roman" w:hAnsi="Times New Roman" w:hint="eastAsia"/>
          <w:b/>
          <w:sz w:val="24"/>
          <w:szCs w:val="24"/>
          <w:lang w:eastAsia="ru-RU"/>
        </w:rPr>
        <w:t>беременность</w:t>
      </w:r>
      <w:r w:rsidRPr="002E17FD">
        <w:rPr>
          <w:rFonts w:ascii="Times New Roman" w:eastAsia="Times New Roman" w:hAnsi="Times New Roman"/>
          <w:b/>
          <w:sz w:val="24"/>
          <w:szCs w:val="24"/>
          <w:lang w:eastAsia="ru-RU"/>
        </w:rPr>
        <w:t xml:space="preserve"> </w:t>
      </w:r>
      <w:r w:rsidRPr="002E17FD">
        <w:rPr>
          <w:rFonts w:ascii="Times New Roman" w:eastAsia="Times New Roman" w:hAnsi="Times New Roman" w:hint="eastAsia"/>
          <w:b/>
          <w:sz w:val="24"/>
          <w:szCs w:val="24"/>
          <w:lang w:eastAsia="ru-RU"/>
        </w:rPr>
        <w:t>и</w:t>
      </w:r>
      <w:r w:rsidRPr="002E17FD">
        <w:rPr>
          <w:rFonts w:ascii="Times New Roman" w:eastAsia="Times New Roman" w:hAnsi="Times New Roman"/>
          <w:b/>
          <w:sz w:val="24"/>
          <w:szCs w:val="24"/>
          <w:lang w:eastAsia="ru-RU"/>
        </w:rPr>
        <w:t xml:space="preserve"> </w:t>
      </w:r>
      <w:r w:rsidRPr="002E17FD">
        <w:rPr>
          <w:rFonts w:ascii="Times New Roman" w:eastAsia="Times New Roman" w:hAnsi="Times New Roman" w:hint="eastAsia"/>
          <w:b/>
          <w:sz w:val="24"/>
          <w:szCs w:val="24"/>
          <w:lang w:eastAsia="ru-RU"/>
        </w:rPr>
        <w:t>лактация</w:t>
      </w:r>
      <w:r w:rsidRPr="002E17FD">
        <w:rPr>
          <w:rFonts w:ascii="Times New Roman" w:eastAsia="Times New Roman" w:hAnsi="Times New Roman"/>
          <w:b/>
          <w:sz w:val="24"/>
          <w:szCs w:val="24"/>
          <w:lang w:eastAsia="ru-RU"/>
        </w:rPr>
        <w:t>.</w:t>
      </w:r>
    </w:p>
    <w:p w14:paraId="432C8098" w14:textId="77777777" w:rsidR="000C5417" w:rsidRPr="002E17FD" w:rsidRDefault="000C5417" w:rsidP="000C5417">
      <w:pPr>
        <w:tabs>
          <w:tab w:val="left" w:pos="426"/>
        </w:tabs>
        <w:adjustRightInd w:val="0"/>
        <w:snapToGrid w:val="0"/>
        <w:spacing w:after="0" w:line="240" w:lineRule="auto"/>
        <w:jc w:val="both"/>
        <w:rPr>
          <w:rFonts w:ascii="Times New Roman" w:hAnsi="Times New Roman"/>
          <w:i/>
          <w:sz w:val="24"/>
          <w:szCs w:val="24"/>
        </w:rPr>
      </w:pPr>
      <w:r w:rsidRPr="002E17FD">
        <w:rPr>
          <w:rFonts w:ascii="Times New Roman" w:hAnsi="Times New Roman"/>
          <w:i/>
          <w:sz w:val="24"/>
          <w:szCs w:val="24"/>
          <w:lang w:val="ru"/>
        </w:rPr>
        <w:t xml:space="preserve">Женщины детородного возраста </w:t>
      </w:r>
    </w:p>
    <w:p w14:paraId="1D4E1AEB" w14:textId="77777777" w:rsidR="000C5417" w:rsidRPr="002E17FD" w:rsidRDefault="000C5417" w:rsidP="000C5417">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 xml:space="preserve">Женщинам детородного возраста во время терапии </w:t>
      </w:r>
      <w:r w:rsidR="003F3582" w:rsidRPr="002E17FD">
        <w:rPr>
          <w:rFonts w:ascii="Times New Roman" w:hAnsi="Times New Roman"/>
          <w:sz w:val="24"/>
          <w:szCs w:val="24"/>
          <w:lang w:val="ru"/>
        </w:rPr>
        <w:t>лапатинибом</w:t>
      </w:r>
      <w:r w:rsidRPr="002E17FD">
        <w:rPr>
          <w:rFonts w:ascii="Times New Roman" w:hAnsi="Times New Roman"/>
          <w:sz w:val="24"/>
          <w:szCs w:val="24"/>
          <w:lang w:val="ru"/>
        </w:rPr>
        <w:t xml:space="preserve"> и в течение как минимум 5 дней после приема последней дозы следует рекомендовать использовать надежные методы контрацепции и избегать наступления беременности. </w:t>
      </w:r>
    </w:p>
    <w:p w14:paraId="586B58BA" w14:textId="77777777" w:rsidR="000C5417" w:rsidRPr="002E17FD" w:rsidRDefault="000C5417" w:rsidP="000C5417">
      <w:pPr>
        <w:spacing w:after="0" w:line="240" w:lineRule="auto"/>
        <w:ind w:left="-5" w:right="7"/>
        <w:jc w:val="both"/>
        <w:rPr>
          <w:rFonts w:ascii="Times New Roman" w:hAnsi="Times New Roman"/>
          <w:i/>
          <w:sz w:val="24"/>
          <w:szCs w:val="24"/>
        </w:rPr>
      </w:pPr>
      <w:r w:rsidRPr="002E17FD">
        <w:rPr>
          <w:rFonts w:ascii="Times New Roman" w:hAnsi="Times New Roman"/>
          <w:i/>
          <w:sz w:val="24"/>
          <w:szCs w:val="24"/>
          <w:lang w:val="ru"/>
        </w:rPr>
        <w:t xml:space="preserve">Беременность </w:t>
      </w:r>
    </w:p>
    <w:p w14:paraId="2937A99E" w14:textId="687A4B7C" w:rsidR="000C5417" w:rsidRPr="002E17FD" w:rsidRDefault="000C5417" w:rsidP="000C5417">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lastRenderedPageBreak/>
        <w:t xml:space="preserve">Нет соответствующих данных об использовании </w:t>
      </w:r>
      <w:r w:rsidR="00DA76C9" w:rsidRPr="002E17FD">
        <w:rPr>
          <w:rFonts w:ascii="Times New Roman" w:hAnsi="Times New Roman"/>
          <w:sz w:val="24"/>
          <w:szCs w:val="24"/>
          <w:lang w:val="ru"/>
        </w:rPr>
        <w:t>л</w:t>
      </w:r>
      <w:r w:rsidRPr="002E17FD">
        <w:rPr>
          <w:rFonts w:ascii="Times New Roman" w:hAnsi="Times New Roman"/>
          <w:sz w:val="24"/>
          <w:szCs w:val="24"/>
          <w:lang w:val="ru"/>
        </w:rPr>
        <w:t>апатиниба у беременных женщин. Исследования на животных показали наличие токсического действия на репродуктивную функцию</w:t>
      </w:r>
      <w:r w:rsidR="005B7B02" w:rsidRPr="002E17FD">
        <w:rPr>
          <w:rFonts w:ascii="Times New Roman" w:hAnsi="Times New Roman"/>
          <w:sz w:val="24"/>
          <w:szCs w:val="24"/>
          <w:lang w:val="ru"/>
        </w:rPr>
        <w:t xml:space="preserve"> (см. раздел 5.3)</w:t>
      </w:r>
      <w:r w:rsidRPr="002E17FD">
        <w:rPr>
          <w:rFonts w:ascii="Times New Roman" w:hAnsi="Times New Roman"/>
          <w:sz w:val="24"/>
          <w:szCs w:val="24"/>
          <w:lang w:val="ru"/>
        </w:rPr>
        <w:t xml:space="preserve">. Потенциальный риск для человека неизвестен. </w:t>
      </w:r>
    </w:p>
    <w:p w14:paraId="5772E844" w14:textId="77777777" w:rsidR="000C5417" w:rsidRPr="002E17FD" w:rsidRDefault="000C5417" w:rsidP="000C5417">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 xml:space="preserve">Не следует применять </w:t>
      </w:r>
      <w:r w:rsidR="00FE0575" w:rsidRPr="002E17FD">
        <w:rPr>
          <w:rFonts w:ascii="Times New Roman" w:hAnsi="Times New Roman"/>
          <w:sz w:val="24"/>
          <w:szCs w:val="24"/>
          <w:lang w:val="ru"/>
        </w:rPr>
        <w:t>Ланиб</w:t>
      </w:r>
      <w:r w:rsidRPr="002E17FD">
        <w:rPr>
          <w:rFonts w:ascii="Times New Roman" w:hAnsi="Times New Roman"/>
          <w:sz w:val="24"/>
          <w:szCs w:val="24"/>
          <w:lang w:val="ru"/>
        </w:rPr>
        <w:t xml:space="preserve"> во время беременности, если на это нет явной необходимости. </w:t>
      </w:r>
    </w:p>
    <w:p w14:paraId="6E4558AF" w14:textId="77777777" w:rsidR="000C5417" w:rsidRPr="002E17FD" w:rsidRDefault="008D4201" w:rsidP="000C5417">
      <w:pPr>
        <w:spacing w:after="0" w:line="240" w:lineRule="auto"/>
        <w:ind w:left="-5" w:right="7"/>
        <w:jc w:val="both"/>
        <w:rPr>
          <w:rFonts w:ascii="Times New Roman" w:hAnsi="Times New Roman"/>
          <w:i/>
          <w:sz w:val="24"/>
          <w:szCs w:val="24"/>
        </w:rPr>
      </w:pPr>
      <w:r w:rsidRPr="002E17FD">
        <w:rPr>
          <w:rFonts w:ascii="Times New Roman" w:hAnsi="Times New Roman"/>
          <w:i/>
          <w:sz w:val="24"/>
          <w:szCs w:val="24"/>
          <w:lang w:val="ru"/>
        </w:rPr>
        <w:t>Кормление грудью</w:t>
      </w:r>
      <w:r w:rsidR="000C5417" w:rsidRPr="002E17FD">
        <w:rPr>
          <w:rFonts w:ascii="Times New Roman" w:hAnsi="Times New Roman"/>
          <w:i/>
          <w:sz w:val="24"/>
          <w:szCs w:val="24"/>
          <w:lang w:val="ru"/>
        </w:rPr>
        <w:t xml:space="preserve"> </w:t>
      </w:r>
    </w:p>
    <w:p w14:paraId="7568258F" w14:textId="77777777" w:rsidR="000C5417" w:rsidRPr="002E17FD" w:rsidRDefault="000C5417" w:rsidP="000C5417">
      <w:pPr>
        <w:spacing w:after="0" w:line="240" w:lineRule="auto"/>
        <w:ind w:left="-5" w:right="7"/>
        <w:jc w:val="both"/>
        <w:rPr>
          <w:rFonts w:ascii="Times New Roman" w:hAnsi="Times New Roman"/>
          <w:sz w:val="24"/>
          <w:szCs w:val="24"/>
          <w:lang w:val="ru"/>
        </w:rPr>
      </w:pPr>
      <w:r w:rsidRPr="002E17FD">
        <w:rPr>
          <w:rFonts w:ascii="Times New Roman" w:hAnsi="Times New Roman"/>
          <w:sz w:val="24"/>
          <w:szCs w:val="24"/>
          <w:lang w:val="ru"/>
        </w:rPr>
        <w:t xml:space="preserve">Безопасное использование </w:t>
      </w:r>
      <w:r w:rsidR="00DA76C9" w:rsidRPr="002E17FD">
        <w:rPr>
          <w:rFonts w:ascii="Times New Roman" w:hAnsi="Times New Roman"/>
          <w:sz w:val="24"/>
          <w:szCs w:val="24"/>
          <w:lang w:val="ru"/>
        </w:rPr>
        <w:t>л</w:t>
      </w:r>
      <w:r w:rsidR="00466527" w:rsidRPr="002E17FD">
        <w:rPr>
          <w:rFonts w:ascii="Times New Roman" w:hAnsi="Times New Roman"/>
          <w:sz w:val="24"/>
          <w:szCs w:val="24"/>
          <w:lang w:val="ru"/>
        </w:rPr>
        <w:t>апатиниба</w:t>
      </w:r>
      <w:r w:rsidRPr="002E17FD">
        <w:rPr>
          <w:rFonts w:ascii="Times New Roman" w:hAnsi="Times New Roman"/>
          <w:sz w:val="24"/>
          <w:szCs w:val="24"/>
          <w:lang w:val="ru"/>
        </w:rPr>
        <w:t xml:space="preserve"> в период лактации не установлено. Нет данных в отношении экскреции лапатиниба в материнское молоко. Наблюдалось замедление роста у детенышей крыс, которые получали лапатиниб через грудное молоко. Женщины должны прекратить грудное вскармливание на время терапии </w:t>
      </w:r>
      <w:r w:rsidR="00466527" w:rsidRPr="002E17FD">
        <w:rPr>
          <w:rFonts w:ascii="Times New Roman" w:hAnsi="Times New Roman"/>
          <w:sz w:val="24"/>
          <w:szCs w:val="24"/>
          <w:lang w:val="ru"/>
        </w:rPr>
        <w:t>Ланибом</w:t>
      </w:r>
      <w:r w:rsidRPr="002E17FD">
        <w:rPr>
          <w:rFonts w:ascii="Times New Roman" w:hAnsi="Times New Roman"/>
          <w:sz w:val="24"/>
          <w:szCs w:val="24"/>
          <w:lang w:val="ru"/>
        </w:rPr>
        <w:t xml:space="preserve"> и в течение как минимум 5 дней после приема последней дозы. </w:t>
      </w:r>
    </w:p>
    <w:p w14:paraId="3775E60C" w14:textId="77777777" w:rsidR="000C5417" w:rsidRPr="002E17FD" w:rsidRDefault="000C5417" w:rsidP="000C5417">
      <w:pPr>
        <w:spacing w:after="0" w:line="240" w:lineRule="auto"/>
        <w:ind w:left="-5" w:right="7"/>
        <w:jc w:val="both"/>
        <w:rPr>
          <w:rFonts w:ascii="Times New Roman" w:hAnsi="Times New Roman"/>
          <w:i/>
          <w:sz w:val="24"/>
          <w:szCs w:val="24"/>
        </w:rPr>
      </w:pPr>
      <w:r w:rsidRPr="002E17FD">
        <w:rPr>
          <w:rFonts w:ascii="Times New Roman" w:hAnsi="Times New Roman"/>
          <w:i/>
          <w:sz w:val="24"/>
          <w:szCs w:val="24"/>
          <w:lang w:val="ru"/>
        </w:rPr>
        <w:t xml:space="preserve">Фертильность </w:t>
      </w:r>
    </w:p>
    <w:p w14:paraId="41072104" w14:textId="77777777" w:rsidR="000C5417" w:rsidRPr="002E17FD" w:rsidRDefault="000C5417" w:rsidP="000C5417">
      <w:pPr>
        <w:spacing w:after="0" w:line="240" w:lineRule="auto"/>
        <w:ind w:left="-5" w:right="7"/>
        <w:jc w:val="both"/>
        <w:rPr>
          <w:rFonts w:ascii="Times New Roman" w:hAnsi="Times New Roman"/>
          <w:sz w:val="24"/>
          <w:szCs w:val="24"/>
        </w:rPr>
      </w:pPr>
      <w:r w:rsidRPr="002E17FD">
        <w:rPr>
          <w:rFonts w:ascii="Times New Roman" w:hAnsi="Times New Roman"/>
          <w:sz w:val="24"/>
          <w:szCs w:val="24"/>
          <w:lang w:val="ru"/>
        </w:rPr>
        <w:t xml:space="preserve">Нет соответствующих данных об использовании </w:t>
      </w:r>
      <w:r w:rsidR="00466527" w:rsidRPr="002E17FD">
        <w:rPr>
          <w:rFonts w:ascii="Times New Roman" w:hAnsi="Times New Roman"/>
          <w:sz w:val="24"/>
          <w:szCs w:val="24"/>
          <w:lang w:val="ru"/>
        </w:rPr>
        <w:t>Ланиба</w:t>
      </w:r>
      <w:r w:rsidRPr="002E17FD">
        <w:rPr>
          <w:rFonts w:ascii="Times New Roman" w:hAnsi="Times New Roman"/>
          <w:sz w:val="24"/>
          <w:szCs w:val="24"/>
          <w:lang w:val="ru"/>
        </w:rPr>
        <w:t xml:space="preserve"> у женщин детородного возраста. </w:t>
      </w:r>
    </w:p>
    <w:p w14:paraId="498A7B4E" w14:textId="77777777" w:rsidR="0078568D" w:rsidRPr="002E17FD" w:rsidRDefault="0078568D" w:rsidP="0078568D">
      <w:pPr>
        <w:spacing w:after="0" w:line="240" w:lineRule="auto"/>
        <w:jc w:val="both"/>
        <w:rPr>
          <w:rFonts w:ascii="Times New Roman" w:eastAsia="Times New Roman" w:hAnsi="Times New Roman"/>
          <w:b/>
          <w:sz w:val="24"/>
          <w:szCs w:val="24"/>
          <w:lang w:eastAsia="ru-RU"/>
        </w:rPr>
      </w:pPr>
    </w:p>
    <w:p w14:paraId="60A94BE8" w14:textId="77777777" w:rsidR="00CE7F7F" w:rsidRPr="002E17FD" w:rsidRDefault="00DB406A" w:rsidP="00CE7F7F">
      <w:pPr>
        <w:spacing w:after="0" w:line="240" w:lineRule="auto"/>
        <w:jc w:val="both"/>
        <w:rPr>
          <w:b/>
          <w:i/>
          <w:sz w:val="24"/>
          <w:szCs w:val="24"/>
        </w:rPr>
      </w:pPr>
      <w:r w:rsidRPr="002E17FD">
        <w:rPr>
          <w:rFonts w:ascii="Times New Roman" w:eastAsia="Times New Roman" w:hAnsi="Times New Roman"/>
          <w:b/>
          <w:sz w:val="24"/>
          <w:szCs w:val="24"/>
          <w:lang w:eastAsia="ru-RU"/>
        </w:rPr>
        <w:t>4.</w:t>
      </w:r>
      <w:r w:rsidR="00B05BD1" w:rsidRPr="002E17FD">
        <w:rPr>
          <w:rFonts w:ascii="Times New Roman" w:eastAsia="Times New Roman" w:hAnsi="Times New Roman"/>
          <w:b/>
          <w:sz w:val="24"/>
          <w:szCs w:val="24"/>
          <w:lang w:eastAsia="ru-RU"/>
        </w:rPr>
        <w:t>7</w:t>
      </w:r>
      <w:r w:rsidRPr="002E17FD">
        <w:rPr>
          <w:rFonts w:ascii="Times New Roman" w:eastAsia="Times New Roman" w:hAnsi="Times New Roman"/>
          <w:b/>
          <w:sz w:val="24"/>
          <w:szCs w:val="24"/>
          <w:lang w:eastAsia="ru-RU"/>
        </w:rPr>
        <w:t xml:space="preserve"> </w:t>
      </w:r>
      <w:r w:rsidR="00B05BD1" w:rsidRPr="002E17FD">
        <w:rPr>
          <w:rFonts w:ascii="Times New Roman" w:eastAsia="Times New Roman" w:hAnsi="Times New Roman"/>
          <w:b/>
          <w:sz w:val="24"/>
          <w:szCs w:val="24"/>
          <w:lang w:eastAsia="ru-RU"/>
        </w:rPr>
        <w:t xml:space="preserve">Влияние на способность управлять транспортными средствами и </w:t>
      </w:r>
      <w:r w:rsidR="00CE7F7F" w:rsidRPr="002E17FD">
        <w:rPr>
          <w:rFonts w:ascii="Times New Roman" w:hAnsi="Times New Roman"/>
          <w:b/>
          <w:sz w:val="24"/>
          <w:szCs w:val="24"/>
        </w:rPr>
        <w:t>потенциально опасными механизмами</w:t>
      </w:r>
      <w:r w:rsidR="00CE7F7F" w:rsidRPr="002E17FD">
        <w:rPr>
          <w:rFonts w:ascii="Times New Roman" w:eastAsia="Times New Roman" w:hAnsi="Times New Roman"/>
          <w:b/>
          <w:sz w:val="24"/>
          <w:szCs w:val="24"/>
          <w:lang w:eastAsia="ru-RU"/>
        </w:rPr>
        <w:t xml:space="preserve"> </w:t>
      </w:r>
      <w:bookmarkStart w:id="4" w:name="2175220282"/>
    </w:p>
    <w:p w14:paraId="59D1E4B0" w14:textId="77777777" w:rsidR="002E04B7" w:rsidRPr="002E17FD" w:rsidRDefault="00823A55" w:rsidP="0078568D">
      <w:pPr>
        <w:spacing w:after="0" w:line="240" w:lineRule="auto"/>
        <w:jc w:val="both"/>
        <w:rPr>
          <w:rFonts w:ascii="Times New Roman" w:eastAsia="Times New Roman" w:hAnsi="Times New Roman"/>
          <w:sz w:val="24"/>
          <w:szCs w:val="24"/>
          <w:lang w:eastAsia="ru-RU"/>
        </w:rPr>
      </w:pPr>
      <w:r w:rsidRPr="002E17FD">
        <w:rPr>
          <w:rFonts w:ascii="Times New Roman" w:eastAsia="Times New Roman" w:hAnsi="Times New Roman"/>
          <w:sz w:val="24"/>
          <w:szCs w:val="24"/>
          <w:lang w:eastAsia="ru-RU"/>
        </w:rPr>
        <w:t>Ланиб не оказывает никакого влияния на способность управлять транспортным средством и потенциально опасными механизмами. Учитывая фармакологические свойства лапатиниба, влияние на деятельность такого рода не ожидается. При рассмотрении способности пациента выполнять задачи, которые требуют задействования логического суждения, двигательных или когнитивных навыков, необходимо учитывать клиническое состояние пациента и профиль побочных явлений лапатиниба.</w:t>
      </w:r>
    </w:p>
    <w:p w14:paraId="643F12DF" w14:textId="77777777" w:rsidR="002E04B7" w:rsidRPr="002E17FD" w:rsidRDefault="002E04B7" w:rsidP="0078568D">
      <w:pPr>
        <w:spacing w:after="0" w:line="240" w:lineRule="auto"/>
        <w:jc w:val="both"/>
        <w:rPr>
          <w:rFonts w:ascii="Times New Roman" w:eastAsia="Times New Roman" w:hAnsi="Times New Roman"/>
          <w:b/>
          <w:sz w:val="24"/>
          <w:szCs w:val="24"/>
          <w:lang w:eastAsia="ru-RU"/>
        </w:rPr>
      </w:pPr>
    </w:p>
    <w:p w14:paraId="62C3D42B" w14:textId="77777777" w:rsidR="009D67EC" w:rsidRPr="002E17FD" w:rsidRDefault="009D67EC" w:rsidP="0078568D">
      <w:pPr>
        <w:spacing w:after="0" w:line="240" w:lineRule="auto"/>
        <w:jc w:val="both"/>
        <w:rPr>
          <w:rFonts w:ascii="Times New Roman" w:hAnsi="Times New Roman"/>
          <w:color w:val="000000"/>
          <w:sz w:val="24"/>
          <w:szCs w:val="24"/>
        </w:rPr>
      </w:pPr>
      <w:r w:rsidRPr="002E17FD">
        <w:rPr>
          <w:rFonts w:ascii="Times New Roman" w:eastAsia="Times New Roman" w:hAnsi="Times New Roman"/>
          <w:b/>
          <w:sz w:val="24"/>
          <w:szCs w:val="24"/>
          <w:lang w:eastAsia="ru-RU"/>
        </w:rPr>
        <w:t>4.8 Нежелательные реакции</w:t>
      </w:r>
      <w:bookmarkEnd w:id="4"/>
    </w:p>
    <w:p w14:paraId="0DAF69B0" w14:textId="77777777" w:rsidR="00A63448" w:rsidRPr="002E17FD" w:rsidRDefault="00A63448" w:rsidP="00A63448">
      <w:pPr>
        <w:adjustRightInd w:val="0"/>
        <w:snapToGrid w:val="0"/>
        <w:spacing w:after="0" w:line="20" w:lineRule="atLeast"/>
        <w:jc w:val="both"/>
        <w:rPr>
          <w:rFonts w:ascii="Times New Roman" w:hAnsi="Times New Roman"/>
          <w:i/>
          <w:sz w:val="24"/>
          <w:szCs w:val="24"/>
        </w:rPr>
      </w:pPr>
      <w:r w:rsidRPr="002E17FD">
        <w:rPr>
          <w:rFonts w:ascii="Times New Roman" w:hAnsi="Times New Roman"/>
          <w:i/>
          <w:sz w:val="24"/>
          <w:szCs w:val="24"/>
          <w:lang w:val="ru"/>
        </w:rPr>
        <w:t xml:space="preserve">Обзор профиля безопасности </w:t>
      </w:r>
    </w:p>
    <w:p w14:paraId="1D764647" w14:textId="1DBA4B47" w:rsidR="00A63448" w:rsidRPr="002E17FD" w:rsidRDefault="00A63448" w:rsidP="00F03EAF">
      <w:pPr>
        <w:spacing w:after="0" w:line="20" w:lineRule="atLeast"/>
        <w:ind w:left="-5" w:right="7"/>
        <w:jc w:val="both"/>
        <w:rPr>
          <w:rFonts w:ascii="Times New Roman" w:hAnsi="Times New Roman"/>
          <w:sz w:val="24"/>
          <w:szCs w:val="24"/>
        </w:rPr>
      </w:pPr>
      <w:r w:rsidRPr="002E17FD">
        <w:rPr>
          <w:rFonts w:ascii="Times New Roman" w:hAnsi="Times New Roman"/>
          <w:sz w:val="24"/>
          <w:szCs w:val="24"/>
          <w:lang w:val="ru"/>
        </w:rPr>
        <w:t>Безопасность лапатиниба оценивали при монотерапии или в комбинации с другими видами химиотерапии для различных видов рака у более чем 20 000 пациентов, включая 198 пациентов, которые принимали лапатиниб с капецитабином, 149 пациентов, которые принимали лапатиниб с трастузумабом, и 654 пациента, которые принимали лапатиниб с летрозолом</w:t>
      </w:r>
      <w:r w:rsidR="007E5C37" w:rsidRPr="002E17FD">
        <w:rPr>
          <w:rFonts w:ascii="Times New Roman" w:hAnsi="Times New Roman"/>
          <w:sz w:val="24"/>
          <w:szCs w:val="24"/>
          <w:lang w:val="ru"/>
        </w:rPr>
        <w:t xml:space="preserve"> (см. раздел 5.1)</w:t>
      </w:r>
      <w:r w:rsidRPr="002E17FD">
        <w:rPr>
          <w:rFonts w:ascii="Times New Roman" w:hAnsi="Times New Roman"/>
          <w:sz w:val="24"/>
          <w:szCs w:val="24"/>
          <w:lang w:val="ru"/>
        </w:rPr>
        <w:t>.</w:t>
      </w:r>
    </w:p>
    <w:p w14:paraId="5D72D441" w14:textId="77777777" w:rsidR="00A63448" w:rsidRPr="002E17FD" w:rsidRDefault="00A63448" w:rsidP="00A63448">
      <w:pPr>
        <w:spacing w:after="0" w:line="20" w:lineRule="atLeast"/>
        <w:ind w:left="-5" w:right="7"/>
        <w:jc w:val="both"/>
        <w:rPr>
          <w:rFonts w:ascii="Times New Roman" w:hAnsi="Times New Roman"/>
          <w:sz w:val="24"/>
          <w:szCs w:val="24"/>
        </w:rPr>
      </w:pPr>
      <w:r w:rsidRPr="002E17FD">
        <w:rPr>
          <w:rFonts w:ascii="Times New Roman" w:hAnsi="Times New Roman"/>
          <w:sz w:val="24"/>
          <w:szCs w:val="24"/>
          <w:lang w:val="ru"/>
        </w:rPr>
        <w:t xml:space="preserve">Наиболее распространенными побочными реакциями (&gt; 25%) во время терапии лапатинибом были расстройства со стороны желудочно-кишечного тракта (диарея, тошнота и рвота) и сыпь. При назначении лапатиниба с капецитабином наблюдалась ладонно-подошвенная эритродизестезия (&gt; 25%). Частота возникновения ладонно-подошвенной эритродизестезии схожа с группами пациентов, принимающих лапатиниб с капецитабином и капецитабин в качестве монотерапии. Диарея является наиболее распространенной побочной реакцией, приводящей к прекращению лечения, когда лапатиниб принимался в сочетании с капецитабином или летрозолом. </w:t>
      </w:r>
    </w:p>
    <w:p w14:paraId="19459FE0" w14:textId="6EA2D965" w:rsidR="00A63448" w:rsidRPr="002E17FD" w:rsidRDefault="00A63448" w:rsidP="00A63448">
      <w:pPr>
        <w:spacing w:after="0" w:line="20" w:lineRule="atLeast"/>
        <w:ind w:left="-5" w:right="7"/>
        <w:jc w:val="both"/>
        <w:rPr>
          <w:rFonts w:ascii="Times New Roman" w:hAnsi="Times New Roman"/>
          <w:sz w:val="24"/>
          <w:szCs w:val="24"/>
        </w:rPr>
      </w:pPr>
      <w:r w:rsidRPr="002E17FD">
        <w:rPr>
          <w:rFonts w:ascii="Times New Roman" w:hAnsi="Times New Roman"/>
          <w:sz w:val="24"/>
          <w:szCs w:val="24"/>
          <w:lang w:val="ru"/>
        </w:rPr>
        <w:t>Не сообщалось о каких-либо дополнительных побочных реакциях, связанных с приемом лапатиниба в сочетании с трастузумабом. Наблюдалось увеличение случаев кардиотоксичности, но по своей сути и тяжести эти осложнения сопоставимы с осложнениями, зарегистрированными в клинической программе лапатиниба</w:t>
      </w:r>
      <w:r w:rsidR="007E5C37" w:rsidRPr="002E17FD">
        <w:rPr>
          <w:rFonts w:ascii="Times New Roman" w:hAnsi="Times New Roman"/>
          <w:sz w:val="24"/>
          <w:szCs w:val="24"/>
          <w:lang w:val="ru"/>
        </w:rPr>
        <w:t xml:space="preserve"> (см. раздел 4.4)</w:t>
      </w:r>
      <w:r w:rsidR="0034555C" w:rsidRPr="002E17FD">
        <w:rPr>
          <w:rFonts w:ascii="Times New Roman" w:hAnsi="Times New Roman"/>
          <w:sz w:val="24"/>
          <w:szCs w:val="24"/>
          <w:lang w:val="ru"/>
        </w:rPr>
        <w:t xml:space="preserve">. </w:t>
      </w:r>
      <w:r w:rsidRPr="002E17FD">
        <w:rPr>
          <w:rFonts w:ascii="Times New Roman" w:hAnsi="Times New Roman"/>
          <w:sz w:val="24"/>
          <w:szCs w:val="24"/>
          <w:lang w:val="ru"/>
        </w:rPr>
        <w:t xml:space="preserve">Эти данные основаны на воздействии этой комбинации у 149 пациентов в базовом исследовании. </w:t>
      </w:r>
    </w:p>
    <w:p w14:paraId="3B06A680" w14:textId="77777777" w:rsidR="00A63448" w:rsidRPr="002E17FD" w:rsidRDefault="00A63448" w:rsidP="00A63448">
      <w:pPr>
        <w:spacing w:after="0" w:line="20" w:lineRule="atLeast"/>
        <w:ind w:left="-5" w:right="7"/>
        <w:jc w:val="both"/>
        <w:rPr>
          <w:rFonts w:ascii="Times New Roman" w:hAnsi="Times New Roman"/>
          <w:i/>
          <w:sz w:val="24"/>
          <w:szCs w:val="24"/>
        </w:rPr>
      </w:pPr>
      <w:r w:rsidRPr="002E17FD">
        <w:rPr>
          <w:rFonts w:ascii="Times New Roman" w:hAnsi="Times New Roman"/>
          <w:i/>
          <w:sz w:val="24"/>
          <w:szCs w:val="24"/>
          <w:lang w:val="ru"/>
        </w:rPr>
        <w:t xml:space="preserve">Список побочных действий </w:t>
      </w:r>
    </w:p>
    <w:p w14:paraId="092E60D5" w14:textId="77777777" w:rsidR="00A63448" w:rsidRPr="002E17FD" w:rsidRDefault="00A63448" w:rsidP="00A63448">
      <w:pPr>
        <w:spacing w:after="0" w:line="20" w:lineRule="atLeast"/>
        <w:ind w:left="-5" w:right="7"/>
        <w:jc w:val="both"/>
        <w:rPr>
          <w:rFonts w:ascii="Times New Roman" w:hAnsi="Times New Roman"/>
          <w:sz w:val="24"/>
          <w:szCs w:val="24"/>
        </w:rPr>
      </w:pPr>
      <w:r w:rsidRPr="002E17FD">
        <w:rPr>
          <w:rFonts w:ascii="Times New Roman" w:hAnsi="Times New Roman"/>
          <w:sz w:val="24"/>
          <w:szCs w:val="24"/>
          <w:lang w:val="ru"/>
        </w:rPr>
        <w:t xml:space="preserve">Сообщалось о следующих побочных реакциях, связанных с приемом лапатиниба в качестве монотерапии или лапатиниба в сочетании с капецитабином, трастузумабом или летрозолом. </w:t>
      </w:r>
    </w:p>
    <w:p w14:paraId="5345872C" w14:textId="77777777" w:rsidR="00A63448" w:rsidRPr="002E17FD" w:rsidRDefault="00A63448" w:rsidP="00A63448">
      <w:pPr>
        <w:spacing w:after="0" w:line="20" w:lineRule="atLeast"/>
        <w:ind w:left="-5" w:right="7"/>
        <w:jc w:val="both"/>
        <w:rPr>
          <w:rFonts w:ascii="Times New Roman" w:hAnsi="Times New Roman"/>
          <w:sz w:val="24"/>
          <w:szCs w:val="24"/>
        </w:rPr>
      </w:pPr>
      <w:r w:rsidRPr="002E17FD">
        <w:rPr>
          <w:rFonts w:ascii="Times New Roman" w:hAnsi="Times New Roman"/>
          <w:sz w:val="24"/>
          <w:szCs w:val="24"/>
          <w:lang w:val="ru"/>
        </w:rPr>
        <w:lastRenderedPageBreak/>
        <w:t xml:space="preserve">Следующие обозначения использовались для классификации частоты возникновения: </w:t>
      </w:r>
      <w:r w:rsidRPr="002E17FD">
        <w:rPr>
          <w:rFonts w:ascii="Times New Roman" w:hAnsi="Times New Roman"/>
          <w:i/>
          <w:sz w:val="24"/>
          <w:szCs w:val="24"/>
          <w:lang w:val="ru"/>
        </w:rPr>
        <w:t>очень часто</w:t>
      </w:r>
      <w:r w:rsidRPr="002E17FD">
        <w:rPr>
          <w:rFonts w:ascii="Times New Roman" w:hAnsi="Times New Roman"/>
          <w:sz w:val="24"/>
          <w:szCs w:val="24"/>
          <w:lang w:val="ru"/>
        </w:rPr>
        <w:t xml:space="preserve"> ((≥1/10), </w:t>
      </w:r>
      <w:r w:rsidRPr="002E17FD">
        <w:rPr>
          <w:rFonts w:ascii="Times New Roman" w:hAnsi="Times New Roman"/>
          <w:i/>
          <w:sz w:val="24"/>
          <w:szCs w:val="24"/>
          <w:lang w:val="ru"/>
        </w:rPr>
        <w:t>часто</w:t>
      </w:r>
      <w:r w:rsidRPr="002E17FD">
        <w:rPr>
          <w:rFonts w:ascii="Times New Roman" w:hAnsi="Times New Roman"/>
          <w:sz w:val="24"/>
          <w:szCs w:val="24"/>
          <w:lang w:val="ru"/>
        </w:rPr>
        <w:t xml:space="preserve"> (≥1/100 до &lt;1/10), </w:t>
      </w:r>
      <w:r w:rsidRPr="002E17FD">
        <w:rPr>
          <w:rFonts w:ascii="Times New Roman" w:hAnsi="Times New Roman"/>
          <w:i/>
          <w:sz w:val="24"/>
          <w:szCs w:val="24"/>
          <w:lang w:val="ru"/>
        </w:rPr>
        <w:t>не часто</w:t>
      </w:r>
      <w:r w:rsidRPr="002E17FD">
        <w:rPr>
          <w:rFonts w:ascii="Times New Roman" w:hAnsi="Times New Roman"/>
          <w:sz w:val="24"/>
          <w:szCs w:val="24"/>
          <w:lang w:val="ru"/>
        </w:rPr>
        <w:t xml:space="preserve"> (≥1/1000 до &lt;1/100), </w:t>
      </w:r>
      <w:r w:rsidRPr="002E17FD">
        <w:rPr>
          <w:rFonts w:ascii="Times New Roman" w:hAnsi="Times New Roman"/>
          <w:i/>
          <w:sz w:val="24"/>
          <w:szCs w:val="24"/>
          <w:lang w:val="ru"/>
        </w:rPr>
        <w:t xml:space="preserve">редко </w:t>
      </w:r>
      <w:r w:rsidRPr="002E17FD">
        <w:rPr>
          <w:rFonts w:ascii="Times New Roman" w:hAnsi="Times New Roman"/>
          <w:sz w:val="24"/>
          <w:szCs w:val="24"/>
          <w:lang w:val="ru"/>
        </w:rPr>
        <w:t xml:space="preserve">(≥1/10000 до &lt;1/1000), </w:t>
      </w:r>
      <w:r w:rsidRPr="002E17FD">
        <w:rPr>
          <w:rFonts w:ascii="Times New Roman" w:hAnsi="Times New Roman"/>
          <w:i/>
          <w:sz w:val="24"/>
          <w:szCs w:val="24"/>
          <w:lang w:val="ru"/>
        </w:rPr>
        <w:t>очень редко</w:t>
      </w:r>
      <w:r w:rsidRPr="002E17FD">
        <w:rPr>
          <w:rFonts w:ascii="Times New Roman" w:hAnsi="Times New Roman"/>
          <w:sz w:val="24"/>
          <w:szCs w:val="24"/>
          <w:lang w:val="ru"/>
        </w:rPr>
        <w:t xml:space="preserve"> (&lt; 1/10 000), неизвестно (не могло быть оценено из имеющихся данных). </w:t>
      </w:r>
    </w:p>
    <w:p w14:paraId="2D5F7AE0" w14:textId="77777777" w:rsidR="00A63448" w:rsidRPr="002E17FD" w:rsidRDefault="0034555C" w:rsidP="00A63448">
      <w:pPr>
        <w:spacing w:after="0" w:line="20" w:lineRule="atLeast"/>
        <w:jc w:val="both"/>
        <w:rPr>
          <w:rFonts w:ascii="Times New Roman" w:hAnsi="Times New Roman"/>
          <w:sz w:val="24"/>
          <w:szCs w:val="24"/>
        </w:rPr>
      </w:pPr>
      <w:r w:rsidRPr="002E17FD">
        <w:rPr>
          <w:rFonts w:ascii="Times New Roman" w:hAnsi="Times New Roman"/>
          <w:sz w:val="24"/>
          <w:szCs w:val="24"/>
        </w:rPr>
        <w:t>В каждой частотной группе нежелательные эффекты представлены в порядке убывания серьезности.</w:t>
      </w:r>
    </w:p>
    <w:p w14:paraId="42F9BFB0" w14:textId="77777777" w:rsidR="0034555C" w:rsidRPr="002E17FD" w:rsidRDefault="0034555C" w:rsidP="00A63448">
      <w:pPr>
        <w:spacing w:after="0" w:line="20" w:lineRule="atLeast"/>
        <w:jc w:val="both"/>
        <w:rPr>
          <w:rFonts w:ascii="Times New Roman" w:hAnsi="Times New Roman"/>
          <w:sz w:val="24"/>
          <w:szCs w:val="24"/>
        </w:rPr>
      </w:pPr>
    </w:p>
    <w:tbl>
      <w:tblPr>
        <w:tblW w:w="9072" w:type="dxa"/>
        <w:tblInd w:w="108" w:type="dxa"/>
        <w:tblCellMar>
          <w:top w:w="7" w:type="dxa"/>
          <w:right w:w="74" w:type="dxa"/>
        </w:tblCellMar>
        <w:tblLook w:val="04A0" w:firstRow="1" w:lastRow="0" w:firstColumn="1" w:lastColumn="0" w:noHBand="0" w:noVBand="1"/>
      </w:tblPr>
      <w:tblGrid>
        <w:gridCol w:w="1858"/>
        <w:gridCol w:w="7214"/>
      </w:tblGrid>
      <w:tr w:rsidR="00A63448" w:rsidRPr="002E17FD" w14:paraId="42B85E73" w14:textId="77777777" w:rsidTr="00873FF7">
        <w:trPr>
          <w:trHeight w:val="26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23B9463"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Нарушения со стороны иммунной системы </w:t>
            </w:r>
          </w:p>
        </w:tc>
      </w:tr>
      <w:tr w:rsidR="00A63448" w:rsidRPr="002E17FD" w14:paraId="30879D22"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360C3C5E"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Редко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0E74C3C9" w14:textId="4A9D79CB"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Реакции гиперчувствительности, включая анафилаксию</w:t>
            </w:r>
            <w:r w:rsidR="007E5C37" w:rsidRPr="002E17FD">
              <w:rPr>
                <w:rFonts w:ascii="Times New Roman" w:eastAsia="Times New Roman" w:hAnsi="Times New Roman"/>
                <w:sz w:val="24"/>
                <w:szCs w:val="24"/>
                <w:lang w:val="ru"/>
              </w:rPr>
              <w:t xml:space="preserve"> (см. раздел 4.3)</w:t>
            </w:r>
          </w:p>
        </w:tc>
      </w:tr>
      <w:tr w:rsidR="00A63448" w:rsidRPr="002E17FD" w14:paraId="75DA24A0" w14:textId="77777777" w:rsidTr="00873FF7">
        <w:trPr>
          <w:trHeight w:val="26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5DA3F425"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Нарушения со стороны обмена веществ и питания </w:t>
            </w:r>
          </w:p>
        </w:tc>
      </w:tr>
      <w:tr w:rsidR="00A63448" w:rsidRPr="002E17FD" w14:paraId="34D8E3E3"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4CBC11A0"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Очень часто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65FCF892"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Анорексия </w:t>
            </w:r>
          </w:p>
        </w:tc>
      </w:tr>
      <w:tr w:rsidR="00A63448" w:rsidRPr="002E17FD" w14:paraId="6B1121B6" w14:textId="77777777" w:rsidTr="00873FF7">
        <w:trPr>
          <w:trHeight w:val="264"/>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7FAB560D"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Психические расстройства </w:t>
            </w:r>
          </w:p>
        </w:tc>
      </w:tr>
      <w:tr w:rsidR="00A63448" w:rsidRPr="002E17FD" w14:paraId="2D929EF1" w14:textId="77777777" w:rsidTr="00873FF7">
        <w:trPr>
          <w:trHeight w:val="262"/>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0B474007"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Очень часто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476FF83A"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Бессонница* </w:t>
            </w:r>
          </w:p>
        </w:tc>
      </w:tr>
      <w:tr w:rsidR="00A63448" w:rsidRPr="002E17FD" w14:paraId="247F8E9D" w14:textId="77777777" w:rsidTr="00873FF7">
        <w:trPr>
          <w:trHeight w:val="264"/>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CE83D2B"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Нарушения со стороны нервной системы </w:t>
            </w:r>
          </w:p>
        </w:tc>
      </w:tr>
      <w:tr w:rsidR="00A63448" w:rsidRPr="002E17FD" w14:paraId="23F208AC" w14:textId="77777777" w:rsidTr="00873FF7">
        <w:trPr>
          <w:trHeight w:val="262"/>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4C8ED767"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Очень часто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1EEA775E"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Головная боль</w:t>
            </w:r>
            <w:r w:rsidRPr="002E17FD">
              <w:rPr>
                <w:rFonts w:ascii="Times New Roman" w:eastAsia="Times New Roman" w:hAnsi="Times New Roman"/>
                <w:sz w:val="24"/>
                <w:szCs w:val="24"/>
                <w:vertAlign w:val="superscript"/>
                <w:lang w:val="ru"/>
              </w:rPr>
              <w:t>†</w:t>
            </w:r>
            <w:r w:rsidRPr="002E17FD">
              <w:rPr>
                <w:rFonts w:ascii="Times New Roman" w:eastAsia="Times New Roman" w:hAnsi="Times New Roman"/>
                <w:sz w:val="24"/>
                <w:szCs w:val="24"/>
                <w:lang w:val="ru"/>
              </w:rPr>
              <w:t xml:space="preserve"> </w:t>
            </w:r>
          </w:p>
        </w:tc>
      </w:tr>
      <w:tr w:rsidR="00A63448" w:rsidRPr="002E17FD" w14:paraId="1F7D3DAD"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174378D1"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Часто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127EA499"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Головная боль * </w:t>
            </w:r>
          </w:p>
        </w:tc>
      </w:tr>
      <w:tr w:rsidR="00A63448" w:rsidRPr="002E17FD" w14:paraId="6A21DA13" w14:textId="77777777" w:rsidTr="00873FF7">
        <w:trPr>
          <w:trHeight w:val="26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22B3E340"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Нарушение со стороны сердца </w:t>
            </w:r>
          </w:p>
        </w:tc>
      </w:tr>
      <w:tr w:rsidR="00A63448" w:rsidRPr="002E17FD" w14:paraId="5C5F2621" w14:textId="77777777" w:rsidTr="00873FF7">
        <w:trPr>
          <w:trHeight w:val="516"/>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2FB80436"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Часто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41866861" w14:textId="2028D798"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Снижение фракции выброса левого желудочка</w:t>
            </w:r>
            <w:r w:rsidRPr="002E17FD">
              <w:rPr>
                <w:rFonts w:ascii="Times New Roman" w:eastAsia="Times New Roman" w:hAnsi="Times New Roman"/>
                <w:color w:val="FF0000"/>
                <w:sz w:val="24"/>
                <w:szCs w:val="24"/>
                <w:lang w:val="ru"/>
              </w:rPr>
              <w:t xml:space="preserve"> </w:t>
            </w:r>
            <w:r w:rsidR="005C0860" w:rsidRPr="002E17FD">
              <w:rPr>
                <w:rFonts w:ascii="Times New Roman" w:eastAsia="Times New Roman" w:hAnsi="Times New Roman"/>
                <w:sz w:val="24"/>
                <w:szCs w:val="24"/>
                <w:lang w:val="ru"/>
              </w:rPr>
              <w:t xml:space="preserve">(см. раздел 4.2 </w:t>
            </w:r>
            <w:r w:rsidRPr="002E17FD">
              <w:rPr>
                <w:rFonts w:ascii="Times New Roman" w:eastAsia="Times New Roman" w:hAnsi="Times New Roman"/>
                <w:sz w:val="24"/>
                <w:szCs w:val="24"/>
                <w:lang w:val="ru"/>
              </w:rPr>
              <w:t xml:space="preserve">снижение дозы - осложнения со стороны сердца </w:t>
            </w:r>
            <w:r w:rsidR="007E5C37" w:rsidRPr="002E17FD">
              <w:rPr>
                <w:rFonts w:ascii="Times New Roman" w:eastAsia="Times New Roman" w:hAnsi="Times New Roman"/>
                <w:sz w:val="24"/>
                <w:szCs w:val="24"/>
                <w:lang w:val="ru"/>
              </w:rPr>
              <w:t>и 4.4)</w:t>
            </w:r>
          </w:p>
        </w:tc>
      </w:tr>
      <w:tr w:rsidR="00A63448" w:rsidRPr="002E17FD" w14:paraId="1580059C" w14:textId="77777777" w:rsidTr="00873FF7">
        <w:trPr>
          <w:trHeight w:val="516"/>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4946B879"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Неизвестно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391FD6CB"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Вентрикулярные аритмии/пируэтная тахикардия, удлинение интервала QT на электрокардиограмме** </w:t>
            </w:r>
          </w:p>
        </w:tc>
      </w:tr>
      <w:tr w:rsidR="00A63448" w:rsidRPr="002E17FD" w14:paraId="765446B1" w14:textId="77777777" w:rsidTr="00873FF7">
        <w:trPr>
          <w:trHeight w:val="264"/>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B63FFAB"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Нарушения со стороны сосудов </w:t>
            </w:r>
          </w:p>
        </w:tc>
      </w:tr>
      <w:tr w:rsidR="00A63448" w:rsidRPr="002E17FD" w14:paraId="70415D37"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1A28F302"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Очень часто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2FFF4D33"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Приливы</w:t>
            </w:r>
            <w:r w:rsidRPr="002E17FD">
              <w:rPr>
                <w:rFonts w:ascii="Times New Roman" w:eastAsia="Times New Roman" w:hAnsi="Times New Roman"/>
                <w:sz w:val="24"/>
                <w:szCs w:val="24"/>
                <w:vertAlign w:val="superscript"/>
                <w:lang w:val="ru"/>
              </w:rPr>
              <w:t>†</w:t>
            </w:r>
            <w:r w:rsidRPr="002E17FD">
              <w:rPr>
                <w:rFonts w:ascii="Times New Roman" w:eastAsia="Times New Roman" w:hAnsi="Times New Roman"/>
                <w:sz w:val="24"/>
                <w:szCs w:val="24"/>
                <w:lang w:val="ru"/>
              </w:rPr>
              <w:t xml:space="preserve"> </w:t>
            </w:r>
          </w:p>
        </w:tc>
      </w:tr>
      <w:tr w:rsidR="00A63448" w:rsidRPr="002E17FD" w14:paraId="5D7F4FE9" w14:textId="77777777" w:rsidTr="00873FF7">
        <w:trPr>
          <w:trHeight w:val="26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6A1EFF5"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Нарушения со стороны дыхательной системы, органов грудной клетки и средостения </w:t>
            </w:r>
          </w:p>
        </w:tc>
      </w:tr>
      <w:tr w:rsidR="00A63448" w:rsidRPr="002E17FD" w14:paraId="2D6798F6"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7829898A"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Очень часто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6C8E628C"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Носовое кровотечение</w:t>
            </w:r>
            <w:r w:rsidRPr="002E17FD">
              <w:rPr>
                <w:rFonts w:ascii="Times New Roman" w:eastAsia="Times New Roman" w:hAnsi="Times New Roman"/>
                <w:sz w:val="24"/>
                <w:szCs w:val="24"/>
                <w:vertAlign w:val="superscript"/>
                <w:lang w:val="ru"/>
              </w:rPr>
              <w:t>†</w:t>
            </w:r>
            <w:r w:rsidRPr="002E17FD">
              <w:rPr>
                <w:rFonts w:ascii="Times New Roman" w:eastAsia="Times New Roman" w:hAnsi="Times New Roman"/>
                <w:sz w:val="24"/>
                <w:szCs w:val="24"/>
                <w:lang w:val="ru"/>
              </w:rPr>
              <w:t>, кашель</w:t>
            </w:r>
            <w:r w:rsidRPr="002E17FD">
              <w:rPr>
                <w:rFonts w:ascii="Times New Roman" w:eastAsia="Times New Roman" w:hAnsi="Times New Roman"/>
                <w:sz w:val="24"/>
                <w:szCs w:val="24"/>
                <w:vertAlign w:val="superscript"/>
                <w:lang w:val="ru"/>
              </w:rPr>
              <w:t>†</w:t>
            </w:r>
            <w:r w:rsidRPr="002E17FD">
              <w:rPr>
                <w:rFonts w:ascii="Times New Roman" w:eastAsia="Times New Roman" w:hAnsi="Times New Roman"/>
                <w:sz w:val="24"/>
                <w:szCs w:val="24"/>
                <w:lang w:val="ru"/>
              </w:rPr>
              <w:t>, одышка</w:t>
            </w:r>
            <w:r w:rsidRPr="002E17FD">
              <w:rPr>
                <w:rFonts w:ascii="Times New Roman" w:eastAsia="Times New Roman" w:hAnsi="Times New Roman"/>
                <w:sz w:val="24"/>
                <w:szCs w:val="24"/>
                <w:vertAlign w:val="superscript"/>
                <w:lang w:val="ru"/>
              </w:rPr>
              <w:t>†</w:t>
            </w:r>
            <w:r w:rsidRPr="002E17FD">
              <w:rPr>
                <w:rFonts w:ascii="Times New Roman" w:eastAsia="Times New Roman" w:hAnsi="Times New Roman"/>
                <w:sz w:val="24"/>
                <w:szCs w:val="24"/>
                <w:lang w:val="ru"/>
              </w:rPr>
              <w:t xml:space="preserve">. </w:t>
            </w:r>
          </w:p>
        </w:tc>
      </w:tr>
      <w:tr w:rsidR="00A63448" w:rsidRPr="002E17FD" w14:paraId="5B9E597F" w14:textId="77777777" w:rsidTr="00873FF7">
        <w:trPr>
          <w:trHeight w:val="262"/>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7A63D1D5"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Нечасто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6275C89F"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Интерстициальный легочный процесс/пневмонит. </w:t>
            </w:r>
          </w:p>
        </w:tc>
      </w:tr>
      <w:tr w:rsidR="00A63448" w:rsidRPr="002E17FD" w14:paraId="44938227"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64DC3FE4"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Неизвестно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708BF71A"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Легочная артериальная гипертензия**. </w:t>
            </w:r>
          </w:p>
        </w:tc>
      </w:tr>
      <w:tr w:rsidR="00A63448" w:rsidRPr="002E17FD" w14:paraId="733FE3B5" w14:textId="77777777" w:rsidTr="00873FF7">
        <w:trPr>
          <w:trHeight w:val="264"/>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9F4E69C"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Желудочно-кишечные расстройства </w:t>
            </w:r>
          </w:p>
        </w:tc>
      </w:tr>
      <w:tr w:rsidR="00A63448" w:rsidRPr="002E17FD" w14:paraId="004417B6" w14:textId="77777777" w:rsidTr="00873FF7">
        <w:trPr>
          <w:trHeight w:val="768"/>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750F8C50"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Очень часто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7086D91D" w14:textId="1F92F702"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Диарея, которая может привести к обезвоживанию </w:t>
            </w:r>
            <w:r w:rsidR="007E5C37" w:rsidRPr="002E17FD">
              <w:rPr>
                <w:rFonts w:ascii="Times New Roman" w:eastAsia="Times New Roman" w:hAnsi="Times New Roman"/>
                <w:sz w:val="24"/>
                <w:szCs w:val="24"/>
                <w:lang w:val="ru"/>
              </w:rPr>
              <w:t xml:space="preserve">(см. раздел 4.2 и 4.4), </w:t>
            </w:r>
            <w:r w:rsidRPr="002E17FD">
              <w:rPr>
                <w:rFonts w:ascii="Times New Roman" w:eastAsia="Times New Roman" w:hAnsi="Times New Roman"/>
                <w:sz w:val="24"/>
                <w:szCs w:val="24"/>
                <w:lang w:val="ru"/>
              </w:rPr>
              <w:t xml:space="preserve">тошнота, рвота, диспепсия*, стоматит*, запоры*, боль в животе*. </w:t>
            </w:r>
          </w:p>
        </w:tc>
      </w:tr>
      <w:tr w:rsidR="00A63448" w:rsidRPr="002E17FD" w14:paraId="4EA724F4"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4F4E636E"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Часто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0D49434A"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Запоры</w:t>
            </w:r>
            <w:r w:rsidRPr="002E17FD">
              <w:rPr>
                <w:rFonts w:ascii="Times New Roman" w:eastAsia="Times New Roman" w:hAnsi="Times New Roman"/>
                <w:sz w:val="24"/>
                <w:szCs w:val="24"/>
                <w:vertAlign w:val="superscript"/>
                <w:lang w:val="ru"/>
              </w:rPr>
              <w:t>†</w:t>
            </w:r>
            <w:r w:rsidRPr="002E17FD">
              <w:rPr>
                <w:rFonts w:ascii="Times New Roman" w:eastAsia="Times New Roman" w:hAnsi="Times New Roman"/>
                <w:sz w:val="24"/>
                <w:szCs w:val="24"/>
                <w:lang w:val="ru"/>
              </w:rPr>
              <w:t xml:space="preserve"> </w:t>
            </w:r>
          </w:p>
        </w:tc>
      </w:tr>
      <w:tr w:rsidR="00A63448" w:rsidRPr="002E17FD" w14:paraId="578684DC" w14:textId="77777777" w:rsidTr="00873FF7">
        <w:trPr>
          <w:trHeight w:val="264"/>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7D4191E2"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Нарушения со стороны печени и желчевыводящих путей </w:t>
            </w:r>
          </w:p>
        </w:tc>
      </w:tr>
      <w:tr w:rsidR="00A63448" w:rsidRPr="002E17FD" w14:paraId="74905C93" w14:textId="77777777" w:rsidTr="00873FF7">
        <w:trPr>
          <w:trHeight w:val="262"/>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5EA3CC34"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Часто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4CDDD064" w14:textId="518FFED4"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Гипербилирубинемия, гепатотоксичность</w:t>
            </w:r>
            <w:r w:rsidR="0085157D" w:rsidRPr="002E17FD">
              <w:rPr>
                <w:rFonts w:ascii="Times New Roman" w:eastAsia="Times New Roman" w:hAnsi="Times New Roman"/>
                <w:sz w:val="24"/>
                <w:szCs w:val="24"/>
                <w:lang w:val="ru"/>
              </w:rPr>
              <w:t xml:space="preserve"> (см. раздел 4.4)</w:t>
            </w:r>
          </w:p>
        </w:tc>
      </w:tr>
      <w:tr w:rsidR="00A63448" w:rsidRPr="002E17FD" w14:paraId="648291C7" w14:textId="77777777" w:rsidTr="00873FF7">
        <w:trPr>
          <w:trHeight w:val="264"/>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13C61D8"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Нарушения со стороны кожи и подкожных тканей </w:t>
            </w:r>
          </w:p>
        </w:tc>
      </w:tr>
      <w:tr w:rsidR="00A63448" w:rsidRPr="002E17FD" w14:paraId="01C34B33" w14:textId="77777777" w:rsidTr="00873FF7">
        <w:trPr>
          <w:trHeight w:val="768"/>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001F783B"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Очень часто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5254295A" w14:textId="18764081"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Сыпь (в т.ч. акнеиформный дерматит) </w:t>
            </w:r>
            <w:r w:rsidR="0085157D" w:rsidRPr="002E17FD">
              <w:rPr>
                <w:rFonts w:ascii="Times New Roman" w:eastAsia="Times New Roman" w:hAnsi="Times New Roman"/>
                <w:sz w:val="24"/>
                <w:szCs w:val="24"/>
                <w:lang w:val="ru"/>
              </w:rPr>
              <w:t>(см. раздел 4.2),</w:t>
            </w:r>
            <w:r w:rsidRPr="002E17FD">
              <w:rPr>
                <w:rFonts w:ascii="Times New Roman" w:eastAsia="Times New Roman" w:hAnsi="Times New Roman"/>
                <w:sz w:val="24"/>
                <w:szCs w:val="24"/>
                <w:lang w:val="ru"/>
              </w:rPr>
              <w:t xml:space="preserve"> сухость кожи*</w:t>
            </w:r>
            <w:r w:rsidRPr="002E17FD">
              <w:rPr>
                <w:rFonts w:ascii="Times New Roman" w:eastAsia="Times New Roman" w:hAnsi="Times New Roman"/>
                <w:sz w:val="24"/>
                <w:szCs w:val="24"/>
                <w:vertAlign w:val="superscript"/>
                <w:lang w:val="ru"/>
              </w:rPr>
              <w:t xml:space="preserve"> †</w:t>
            </w:r>
            <w:r w:rsidRPr="002E17FD">
              <w:rPr>
                <w:rFonts w:ascii="Times New Roman" w:eastAsia="Times New Roman" w:hAnsi="Times New Roman"/>
                <w:sz w:val="24"/>
                <w:szCs w:val="24"/>
                <w:lang w:val="ru"/>
              </w:rPr>
              <w:t>, синдром ладонно-подошвенной эритродизестезии *, алопеция</w:t>
            </w:r>
            <w:r w:rsidRPr="002E17FD">
              <w:rPr>
                <w:rFonts w:ascii="Times New Roman" w:eastAsia="Times New Roman" w:hAnsi="Times New Roman"/>
                <w:sz w:val="24"/>
                <w:szCs w:val="24"/>
                <w:vertAlign w:val="superscript"/>
                <w:lang w:val="ru"/>
              </w:rPr>
              <w:t xml:space="preserve"> †</w:t>
            </w:r>
            <w:r w:rsidRPr="002E17FD">
              <w:rPr>
                <w:rFonts w:ascii="Times New Roman" w:eastAsia="Times New Roman" w:hAnsi="Times New Roman"/>
                <w:sz w:val="24"/>
                <w:szCs w:val="24"/>
                <w:lang w:val="ru"/>
              </w:rPr>
              <w:t>, зуд</w:t>
            </w:r>
            <w:r w:rsidRPr="002E17FD">
              <w:rPr>
                <w:rFonts w:ascii="Times New Roman" w:eastAsia="Times New Roman" w:hAnsi="Times New Roman"/>
                <w:sz w:val="24"/>
                <w:szCs w:val="24"/>
                <w:vertAlign w:val="superscript"/>
                <w:lang w:val="ru"/>
              </w:rPr>
              <w:t xml:space="preserve"> †</w:t>
            </w:r>
          </w:p>
        </w:tc>
      </w:tr>
      <w:tr w:rsidR="00A63448" w:rsidRPr="002E17FD" w14:paraId="498869AA" w14:textId="77777777" w:rsidTr="005C0860">
        <w:trPr>
          <w:trHeight w:val="159"/>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3C289BCD"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Часто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7CEDCAC2" w14:textId="4E936BAF"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Поражения ногтей, в т.ч. паранихия</w:t>
            </w:r>
            <w:r w:rsidR="0085157D" w:rsidRPr="002E17FD">
              <w:rPr>
                <w:rFonts w:ascii="Times New Roman" w:eastAsia="Times New Roman" w:hAnsi="Times New Roman"/>
                <w:sz w:val="24"/>
                <w:szCs w:val="24"/>
                <w:lang w:val="ru"/>
              </w:rPr>
              <w:t>, трещины кожи</w:t>
            </w:r>
          </w:p>
        </w:tc>
      </w:tr>
      <w:tr w:rsidR="00A63448" w:rsidRPr="002E17FD" w14:paraId="4F976531" w14:textId="77777777" w:rsidTr="00873FF7">
        <w:trPr>
          <w:trHeight w:val="517"/>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114A7BE6"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Неизвестно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717FD190"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Серьезные кожные реакции, включая синдром Стивенса-Джонсона (SJS) и токсический эпидермальный некролиз (TEN)** </w:t>
            </w:r>
          </w:p>
        </w:tc>
      </w:tr>
      <w:tr w:rsidR="00A63448" w:rsidRPr="002E17FD" w14:paraId="0FEE36B8" w14:textId="77777777" w:rsidTr="00873FF7">
        <w:trPr>
          <w:trHeight w:val="26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7E11E795"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Нарушения со стороны скелетно-мышечной и соединительной ткани </w:t>
            </w:r>
          </w:p>
        </w:tc>
      </w:tr>
      <w:tr w:rsidR="00A63448" w:rsidRPr="002E17FD" w14:paraId="7B15D8F0"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40B5E06C"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Очень часто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1C6F7630"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Боль в конечностях* </w:t>
            </w:r>
            <w:r w:rsidRPr="002E17FD">
              <w:rPr>
                <w:rFonts w:ascii="Times New Roman" w:eastAsia="Times New Roman" w:hAnsi="Times New Roman"/>
                <w:sz w:val="24"/>
                <w:szCs w:val="24"/>
                <w:vertAlign w:val="superscript"/>
                <w:lang w:val="ru"/>
              </w:rPr>
              <w:t>†</w:t>
            </w:r>
            <w:r w:rsidRPr="002E17FD">
              <w:rPr>
                <w:rFonts w:ascii="Times New Roman" w:eastAsia="Times New Roman" w:hAnsi="Times New Roman"/>
                <w:sz w:val="24"/>
                <w:szCs w:val="24"/>
                <w:lang w:val="ru"/>
              </w:rPr>
              <w:t xml:space="preserve">, боли в спине* </w:t>
            </w:r>
            <w:r w:rsidRPr="002E17FD">
              <w:rPr>
                <w:rFonts w:ascii="Times New Roman" w:eastAsia="Times New Roman" w:hAnsi="Times New Roman"/>
                <w:sz w:val="24"/>
                <w:szCs w:val="24"/>
                <w:vertAlign w:val="superscript"/>
                <w:lang w:val="ru"/>
              </w:rPr>
              <w:t>†</w:t>
            </w:r>
            <w:r w:rsidRPr="002E17FD">
              <w:rPr>
                <w:rFonts w:ascii="Times New Roman" w:eastAsia="Times New Roman" w:hAnsi="Times New Roman"/>
                <w:sz w:val="24"/>
                <w:szCs w:val="24"/>
                <w:lang w:val="ru"/>
              </w:rPr>
              <w:t xml:space="preserve">, артралгия </w:t>
            </w:r>
            <w:r w:rsidRPr="002E17FD">
              <w:rPr>
                <w:rFonts w:ascii="Times New Roman" w:eastAsia="Times New Roman" w:hAnsi="Times New Roman"/>
                <w:sz w:val="24"/>
                <w:szCs w:val="24"/>
                <w:vertAlign w:val="superscript"/>
                <w:lang w:val="ru"/>
              </w:rPr>
              <w:t>†</w:t>
            </w:r>
            <w:r w:rsidRPr="002E17FD">
              <w:rPr>
                <w:rFonts w:ascii="Times New Roman" w:eastAsia="Times New Roman" w:hAnsi="Times New Roman"/>
                <w:sz w:val="24"/>
                <w:szCs w:val="24"/>
                <w:lang w:val="ru"/>
              </w:rPr>
              <w:t xml:space="preserve">. </w:t>
            </w:r>
          </w:p>
        </w:tc>
      </w:tr>
      <w:tr w:rsidR="00A63448" w:rsidRPr="002E17FD" w14:paraId="2E44F475" w14:textId="77777777" w:rsidTr="00873FF7">
        <w:trPr>
          <w:trHeight w:val="26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03076A9"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Осложнения общего характера и реакции в месте введения </w:t>
            </w:r>
          </w:p>
        </w:tc>
      </w:tr>
      <w:tr w:rsidR="00A63448" w:rsidRPr="002E17FD" w14:paraId="56221621" w14:textId="77777777" w:rsidTr="00873FF7">
        <w:trPr>
          <w:trHeight w:val="264"/>
        </w:trPr>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2662F5C9"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Очень часто </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3D7BEC39" w14:textId="77777777" w:rsidR="00A63448" w:rsidRPr="002E17FD" w:rsidRDefault="00A63448"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Усталость, воспаление слизистой оболочки*, астения</w:t>
            </w:r>
            <w:r w:rsidRPr="002E17FD">
              <w:rPr>
                <w:rFonts w:ascii="Times New Roman" w:eastAsia="Times New Roman" w:hAnsi="Times New Roman"/>
                <w:sz w:val="24"/>
                <w:szCs w:val="24"/>
                <w:vertAlign w:val="superscript"/>
                <w:lang w:val="ru"/>
              </w:rPr>
              <w:t xml:space="preserve"> †</w:t>
            </w:r>
            <w:r w:rsidRPr="002E17FD">
              <w:rPr>
                <w:rFonts w:ascii="Times New Roman" w:eastAsia="Times New Roman" w:hAnsi="Times New Roman"/>
                <w:sz w:val="24"/>
                <w:szCs w:val="24"/>
                <w:lang w:val="ru"/>
              </w:rPr>
              <w:t xml:space="preserve">. </w:t>
            </w:r>
          </w:p>
        </w:tc>
      </w:tr>
    </w:tbl>
    <w:p w14:paraId="74B7DE81" w14:textId="77777777" w:rsidR="00A63448" w:rsidRPr="002E17FD" w:rsidRDefault="00A63448" w:rsidP="00A63448">
      <w:pPr>
        <w:spacing w:after="0" w:line="20" w:lineRule="atLeast"/>
        <w:ind w:left="551" w:right="7" w:hanging="566"/>
        <w:jc w:val="both"/>
        <w:rPr>
          <w:rFonts w:ascii="Times New Roman" w:hAnsi="Times New Roman"/>
          <w:sz w:val="24"/>
          <w:szCs w:val="24"/>
        </w:rPr>
      </w:pPr>
      <w:r w:rsidRPr="002E17FD">
        <w:rPr>
          <w:rFonts w:ascii="Times New Roman" w:hAnsi="Times New Roman"/>
          <w:sz w:val="24"/>
          <w:szCs w:val="24"/>
          <w:lang w:val="ru"/>
        </w:rPr>
        <w:t xml:space="preserve">* </w:t>
      </w:r>
      <w:r w:rsidRPr="002E17FD">
        <w:rPr>
          <w:rFonts w:ascii="Times New Roman" w:hAnsi="Times New Roman"/>
          <w:sz w:val="24"/>
          <w:szCs w:val="24"/>
          <w:lang w:val="ru"/>
        </w:rPr>
        <w:tab/>
        <w:t xml:space="preserve">Эти побочные реакции наблюдались при назначении лапатиниба в комбинации с капецитабином. </w:t>
      </w:r>
    </w:p>
    <w:p w14:paraId="4CDFF7FE" w14:textId="77777777" w:rsidR="00A63448" w:rsidRPr="002E17FD" w:rsidRDefault="00A63448" w:rsidP="00A63448">
      <w:pPr>
        <w:spacing w:after="0" w:line="20" w:lineRule="atLeast"/>
        <w:ind w:left="551" w:right="7" w:hanging="566"/>
        <w:jc w:val="both"/>
        <w:rPr>
          <w:rFonts w:ascii="Times New Roman" w:hAnsi="Times New Roman"/>
          <w:sz w:val="24"/>
          <w:szCs w:val="24"/>
        </w:rPr>
      </w:pPr>
      <w:r w:rsidRPr="002E17FD">
        <w:rPr>
          <w:rFonts w:ascii="Times New Roman" w:hAnsi="Times New Roman"/>
          <w:sz w:val="24"/>
          <w:szCs w:val="24"/>
          <w:vertAlign w:val="superscript"/>
          <w:lang w:val="ru"/>
        </w:rPr>
        <w:lastRenderedPageBreak/>
        <w:t xml:space="preserve">† </w:t>
      </w:r>
      <w:r w:rsidRPr="002E17FD">
        <w:rPr>
          <w:rFonts w:ascii="Times New Roman" w:hAnsi="Times New Roman"/>
          <w:sz w:val="24"/>
          <w:szCs w:val="24"/>
          <w:lang w:val="ru"/>
        </w:rPr>
        <w:tab/>
        <w:t xml:space="preserve">Эти побочные реакции наблюдались при назначении лапатиниба в комбинации с летрозолом. </w:t>
      </w:r>
    </w:p>
    <w:p w14:paraId="6F9D0A07" w14:textId="77777777" w:rsidR="00ED507D" w:rsidRPr="002E17FD" w:rsidRDefault="00A63448" w:rsidP="00ED507D">
      <w:pPr>
        <w:tabs>
          <w:tab w:val="center" w:pos="3114"/>
        </w:tabs>
        <w:spacing w:after="0" w:line="20" w:lineRule="atLeast"/>
        <w:ind w:left="-15" w:firstLine="15"/>
        <w:jc w:val="both"/>
        <w:rPr>
          <w:rFonts w:ascii="Times New Roman" w:hAnsi="Times New Roman"/>
          <w:sz w:val="24"/>
          <w:szCs w:val="24"/>
          <w:lang w:val="ru"/>
        </w:rPr>
      </w:pPr>
      <w:r w:rsidRPr="002E17FD">
        <w:rPr>
          <w:rFonts w:ascii="Times New Roman" w:hAnsi="Times New Roman"/>
          <w:sz w:val="24"/>
          <w:szCs w:val="24"/>
          <w:lang w:val="ru"/>
        </w:rPr>
        <w:t xml:space="preserve">** </w:t>
      </w:r>
      <w:r w:rsidRPr="002E17FD">
        <w:rPr>
          <w:rFonts w:ascii="Times New Roman" w:hAnsi="Times New Roman"/>
          <w:sz w:val="24"/>
          <w:szCs w:val="24"/>
          <w:lang w:val="ru"/>
        </w:rPr>
        <w:tab/>
      </w:r>
      <w:r w:rsidR="0034555C" w:rsidRPr="002E17FD">
        <w:rPr>
          <w:rFonts w:ascii="Times New Roman" w:hAnsi="Times New Roman"/>
          <w:sz w:val="24"/>
          <w:szCs w:val="24"/>
          <w:lang w:val="ru"/>
        </w:rPr>
        <w:t xml:space="preserve">    </w:t>
      </w:r>
      <w:r w:rsidRPr="002E17FD">
        <w:rPr>
          <w:rFonts w:ascii="Times New Roman" w:hAnsi="Times New Roman"/>
          <w:sz w:val="24"/>
          <w:szCs w:val="24"/>
          <w:lang w:val="ru"/>
        </w:rPr>
        <w:t xml:space="preserve">Неблагоприятные реакции, известные </w:t>
      </w:r>
      <w:r w:rsidR="00ED507D" w:rsidRPr="002E17FD">
        <w:rPr>
          <w:rFonts w:ascii="Times New Roman" w:hAnsi="Times New Roman"/>
          <w:sz w:val="24"/>
          <w:szCs w:val="24"/>
          <w:lang w:val="ru"/>
        </w:rPr>
        <w:t xml:space="preserve"> по спонтанным сообщениям и данным литературы</w:t>
      </w:r>
    </w:p>
    <w:p w14:paraId="0B7A0473" w14:textId="7B89C6D0" w:rsidR="00A63448" w:rsidRPr="002E17FD" w:rsidRDefault="00A63448" w:rsidP="00ED507D">
      <w:pPr>
        <w:tabs>
          <w:tab w:val="center" w:pos="3114"/>
        </w:tabs>
        <w:spacing w:after="0" w:line="20" w:lineRule="atLeast"/>
        <w:ind w:left="-15" w:firstLine="15"/>
        <w:jc w:val="both"/>
        <w:rPr>
          <w:rFonts w:ascii="Times New Roman" w:hAnsi="Times New Roman"/>
          <w:b/>
          <w:sz w:val="24"/>
          <w:szCs w:val="24"/>
          <w:lang w:val="ru"/>
        </w:rPr>
      </w:pPr>
      <w:r w:rsidRPr="002E17FD">
        <w:rPr>
          <w:rFonts w:ascii="Times New Roman" w:hAnsi="Times New Roman"/>
          <w:b/>
          <w:sz w:val="24"/>
          <w:szCs w:val="24"/>
          <w:lang w:val="ru"/>
        </w:rPr>
        <w:t xml:space="preserve">Описание избранных нежелательных реакций </w:t>
      </w:r>
    </w:p>
    <w:p w14:paraId="63096666" w14:textId="77777777" w:rsidR="00A63448" w:rsidRPr="002E17FD" w:rsidRDefault="00A63448" w:rsidP="00A63448">
      <w:pPr>
        <w:spacing w:after="0" w:line="20" w:lineRule="atLeast"/>
        <w:jc w:val="both"/>
        <w:rPr>
          <w:rFonts w:ascii="Times New Roman" w:hAnsi="Times New Roman"/>
          <w:b/>
          <w:sz w:val="24"/>
          <w:szCs w:val="24"/>
        </w:rPr>
      </w:pPr>
      <w:r w:rsidRPr="002E17FD">
        <w:rPr>
          <w:rFonts w:ascii="Times New Roman" w:hAnsi="Times New Roman"/>
          <w:i/>
          <w:iCs/>
          <w:sz w:val="24"/>
          <w:szCs w:val="24"/>
          <w:lang w:val="ru"/>
        </w:rPr>
        <w:t xml:space="preserve">Снижение фракции выброса левого желудочка и удлинение интервала QT </w:t>
      </w:r>
    </w:p>
    <w:p w14:paraId="7AAA40DA" w14:textId="77777777" w:rsidR="00A63448" w:rsidRPr="002E17FD" w:rsidRDefault="00A63448" w:rsidP="00A63448">
      <w:pPr>
        <w:spacing w:after="0" w:line="20" w:lineRule="atLeast"/>
        <w:ind w:left="-5" w:right="7"/>
        <w:jc w:val="both"/>
        <w:rPr>
          <w:rFonts w:ascii="Times New Roman" w:hAnsi="Times New Roman"/>
          <w:sz w:val="24"/>
          <w:szCs w:val="24"/>
        </w:rPr>
      </w:pPr>
      <w:r w:rsidRPr="002E17FD">
        <w:rPr>
          <w:rFonts w:ascii="Times New Roman" w:hAnsi="Times New Roman"/>
          <w:sz w:val="24"/>
          <w:szCs w:val="24"/>
          <w:lang w:val="ru"/>
        </w:rPr>
        <w:t xml:space="preserve">Снижение фракции выброса левого желудочка наблюдалось приблизительно у 1% пациентов, принимавших лапатиниб, и в более чем 70% случаев было асимптоматичным. В 70% случаев снижение фракции выброса левого желудочка разрешалось или улучшалось, из них у 60% пациентов после отмены лапатиниба, у 40% - при продолжении терапии лапатинибом. Приблизительно у 0,3% пациентов, принимавших лапатиниб в качестве монотерапии или в комбинации с другими противоопухолевыми препаратами, развивались симптомы снижения фракции выброса левого желудочка. В качестве побочных реакций наблюдались диспноэ, сердечная недостаточность, ощущение сердцебиения. В общей сложности 58% этих симптоматичных пациентов вылечились. Снижение фракции выброса левого желудочка наблюдалось у 2,5% пациентов, принимавших лапатиниб в комбинации с капецитабином, по сравнению с 1,0% пациентов, принимавших капецитабин в виде монотерапии. Снижение фракции выброса левого желудочка наблюдалось у 3,1% пациентов, принимавших лапатиниб в комбинации с летрозолом, по сравнению с 1,3% пациентов, принимавших летрозол и плацебо. Снижение фракции выброса левого желудочка наблюдалось у 6,7% пациентов, принимавших лапатиниб в комбинации с трастузумабом, по сравнению с 2,1% пациентов, принимавших лапатиниб в виде монотерапии. </w:t>
      </w:r>
    </w:p>
    <w:p w14:paraId="7086D750" w14:textId="3C78FE34" w:rsidR="00A63448" w:rsidRPr="002E17FD" w:rsidRDefault="00A63448" w:rsidP="00A63448">
      <w:pPr>
        <w:spacing w:after="0" w:line="20" w:lineRule="atLeast"/>
        <w:ind w:left="-5" w:right="7"/>
        <w:jc w:val="both"/>
        <w:rPr>
          <w:rFonts w:ascii="Times New Roman" w:hAnsi="Times New Roman"/>
          <w:sz w:val="24"/>
          <w:szCs w:val="24"/>
          <w:lang w:val="ru"/>
        </w:rPr>
      </w:pPr>
      <w:r w:rsidRPr="002E17FD">
        <w:rPr>
          <w:rFonts w:ascii="Times New Roman" w:hAnsi="Times New Roman"/>
          <w:sz w:val="24"/>
          <w:szCs w:val="24"/>
          <w:lang w:val="ru"/>
        </w:rPr>
        <w:t>Зависящее от концентрации увеличение QTcF (максимальное среднее ΔΔQTcF 8,75 мс; 90%-ный ДИ (4,08–13,42)) наблюдалось в специализированном исследовании QT с участием пациентов, имеющих солидные опухоли высокой стадии</w:t>
      </w:r>
      <w:r w:rsidR="008E43F1" w:rsidRPr="002E17FD">
        <w:rPr>
          <w:rFonts w:ascii="Times New Roman" w:hAnsi="Times New Roman"/>
          <w:sz w:val="24"/>
          <w:szCs w:val="24"/>
          <w:lang w:val="ru"/>
        </w:rPr>
        <w:t xml:space="preserve"> (см. раздел 4.4)</w:t>
      </w:r>
      <w:r w:rsidRPr="002E17FD">
        <w:rPr>
          <w:rFonts w:ascii="Times New Roman" w:hAnsi="Times New Roman"/>
          <w:sz w:val="24"/>
          <w:szCs w:val="24"/>
          <w:lang w:val="ru"/>
        </w:rPr>
        <w:t>.</w:t>
      </w:r>
    </w:p>
    <w:p w14:paraId="7FFF1C75" w14:textId="77777777" w:rsidR="00A63448" w:rsidRPr="002E17FD" w:rsidRDefault="00A63448" w:rsidP="00A63448">
      <w:pPr>
        <w:spacing w:after="0" w:line="20" w:lineRule="atLeast"/>
        <w:ind w:left="-5" w:right="7"/>
        <w:jc w:val="both"/>
        <w:rPr>
          <w:rFonts w:ascii="Times New Roman" w:hAnsi="Times New Roman"/>
          <w:sz w:val="24"/>
          <w:szCs w:val="24"/>
        </w:rPr>
      </w:pPr>
      <w:r w:rsidRPr="002E17FD">
        <w:rPr>
          <w:rFonts w:ascii="Times New Roman" w:hAnsi="Times New Roman"/>
          <w:i/>
          <w:iCs/>
          <w:sz w:val="24"/>
          <w:szCs w:val="24"/>
          <w:lang w:val="ru"/>
        </w:rPr>
        <w:t xml:space="preserve">Диарея </w:t>
      </w:r>
    </w:p>
    <w:p w14:paraId="78F3B334" w14:textId="70EFEFFF" w:rsidR="00A63448" w:rsidRPr="002E17FD" w:rsidRDefault="00A63448" w:rsidP="00A63448">
      <w:pPr>
        <w:spacing w:after="0" w:line="20" w:lineRule="atLeast"/>
        <w:ind w:left="-5" w:right="134"/>
        <w:jc w:val="both"/>
        <w:rPr>
          <w:rFonts w:ascii="Times New Roman" w:hAnsi="Times New Roman"/>
          <w:sz w:val="24"/>
          <w:szCs w:val="24"/>
          <w:lang w:val="ru"/>
        </w:rPr>
      </w:pPr>
      <w:r w:rsidRPr="002E17FD">
        <w:rPr>
          <w:rFonts w:ascii="Times New Roman" w:hAnsi="Times New Roman"/>
          <w:sz w:val="24"/>
          <w:szCs w:val="24"/>
          <w:lang w:val="ru"/>
        </w:rPr>
        <w:t>Диарея наблюдалась приблизительно у 65% пациентов, принимавших лапатиниб в комбинации с капецитабином, у 64% пациентов, принимавших лапатиниб в комбинации с летрозолом, и у 62% пациентов, принимавших лапатиниб в комбинации с трастузумабом. В большинстве случаев диарея имела степень тяжести 1 или 2 и не требовала отмены лапатиниба. Диарея регулируется упреждающими профилактическими мероприятиями</w:t>
      </w:r>
      <w:r w:rsidR="008E43F1" w:rsidRPr="002E17FD">
        <w:rPr>
          <w:rFonts w:ascii="Times New Roman" w:hAnsi="Times New Roman"/>
          <w:sz w:val="24"/>
          <w:szCs w:val="24"/>
          <w:lang w:val="ru"/>
        </w:rPr>
        <w:t xml:space="preserve"> (см. раздел 4.4)</w:t>
      </w:r>
      <w:r w:rsidRPr="002E17FD">
        <w:rPr>
          <w:rFonts w:ascii="Times New Roman" w:hAnsi="Times New Roman"/>
          <w:sz w:val="24"/>
          <w:szCs w:val="24"/>
          <w:lang w:val="ru"/>
        </w:rPr>
        <w:t xml:space="preserve">. Тем не менее было выявлено несколько случаев острой почечной недостаточности в связи с развитием тяжелой дегидратации на фоне диареи. </w:t>
      </w:r>
    </w:p>
    <w:p w14:paraId="382ED817" w14:textId="77777777" w:rsidR="00A63448" w:rsidRPr="002E17FD" w:rsidRDefault="00A63448" w:rsidP="00A63448">
      <w:pPr>
        <w:spacing w:after="0" w:line="20" w:lineRule="atLeast"/>
        <w:ind w:left="-5" w:right="134"/>
        <w:jc w:val="both"/>
        <w:rPr>
          <w:rFonts w:ascii="Times New Roman" w:hAnsi="Times New Roman"/>
          <w:sz w:val="24"/>
          <w:szCs w:val="24"/>
        </w:rPr>
      </w:pPr>
      <w:r w:rsidRPr="002E17FD">
        <w:rPr>
          <w:rFonts w:ascii="Times New Roman" w:hAnsi="Times New Roman"/>
          <w:i/>
          <w:iCs/>
          <w:sz w:val="24"/>
          <w:szCs w:val="24"/>
          <w:lang w:val="ru"/>
        </w:rPr>
        <w:t xml:space="preserve">Высыпания </w:t>
      </w:r>
    </w:p>
    <w:p w14:paraId="7824AA1E" w14:textId="77777777" w:rsidR="00A63448" w:rsidRPr="002E17FD" w:rsidRDefault="00A63448" w:rsidP="00A63448">
      <w:pPr>
        <w:spacing w:after="0" w:line="20" w:lineRule="atLeast"/>
        <w:ind w:left="-5" w:right="7"/>
        <w:jc w:val="both"/>
        <w:rPr>
          <w:rFonts w:ascii="Times New Roman" w:hAnsi="Times New Roman"/>
          <w:sz w:val="24"/>
          <w:szCs w:val="24"/>
          <w:lang w:val="ru"/>
        </w:rPr>
      </w:pPr>
      <w:r w:rsidRPr="002E17FD">
        <w:rPr>
          <w:rFonts w:ascii="Times New Roman" w:hAnsi="Times New Roman"/>
          <w:sz w:val="24"/>
          <w:szCs w:val="24"/>
          <w:lang w:val="ru"/>
        </w:rPr>
        <w:t xml:space="preserve">Сыпь наблюдалась приблизительно у 28 % пациентов, принимавших лапатиниб в комбинации с капецитабином, у 45 % пациентов, принимавших лапатиниб в комбинации с летрозолом, и у 23 % пациентов, принимавших лапатиниб в комбинации с трастузумабом. В основном сыпь имела низкую степень тяжести и не требовала отмены лапатиниба. Лечащие врачи должны осматривать кожу пациента до начала лечения и регулярно во время лечения. Пациентам, испытывающим кожные реакции, рекомендуется избегать воздействия солнечного света и применять солнцезащитный крем широкого спектра с защитным фактором (SPF) 30. В случае возникновения кожных реакций пациент должен проходить полный осмотр на протяжении месяца после разрешения инцидента. Пациенты с распространенной или постоянной кожной реакцией должны быть направлены к дерматологу. </w:t>
      </w:r>
    </w:p>
    <w:p w14:paraId="319F30D8" w14:textId="77777777" w:rsidR="00A63448" w:rsidRPr="002E17FD" w:rsidRDefault="00A63448" w:rsidP="00A63448">
      <w:pPr>
        <w:spacing w:after="0" w:line="20" w:lineRule="atLeast"/>
        <w:ind w:left="-5" w:right="7"/>
        <w:jc w:val="both"/>
        <w:rPr>
          <w:rFonts w:ascii="Times New Roman" w:hAnsi="Times New Roman"/>
          <w:sz w:val="24"/>
          <w:szCs w:val="24"/>
        </w:rPr>
      </w:pPr>
      <w:r w:rsidRPr="002E17FD">
        <w:rPr>
          <w:rFonts w:ascii="Times New Roman" w:hAnsi="Times New Roman"/>
          <w:i/>
          <w:iCs/>
          <w:sz w:val="24"/>
          <w:szCs w:val="24"/>
          <w:lang w:val="ru"/>
        </w:rPr>
        <w:t xml:space="preserve">Гепатотоксичность </w:t>
      </w:r>
    </w:p>
    <w:p w14:paraId="43219055" w14:textId="53B7AE8F" w:rsidR="00A63448" w:rsidRPr="002E17FD" w:rsidRDefault="00A63448" w:rsidP="00A63448">
      <w:pPr>
        <w:spacing w:after="0" w:line="20" w:lineRule="atLeast"/>
        <w:ind w:left="-5" w:right="7"/>
        <w:jc w:val="both"/>
        <w:rPr>
          <w:rFonts w:ascii="Times New Roman" w:hAnsi="Times New Roman"/>
          <w:sz w:val="24"/>
          <w:szCs w:val="24"/>
          <w:lang w:val="ru"/>
        </w:rPr>
      </w:pPr>
      <w:r w:rsidRPr="002E17FD">
        <w:rPr>
          <w:rFonts w:ascii="Times New Roman" w:hAnsi="Times New Roman"/>
          <w:sz w:val="24"/>
          <w:szCs w:val="24"/>
          <w:lang w:val="ru"/>
        </w:rPr>
        <w:t>Риск развития гепатотоксичности, вызванной лапатинибом, связывали с носительством аллелей HLA DQA1*02:01 и DRB1*07:01</w:t>
      </w:r>
      <w:r w:rsidR="003517E3" w:rsidRPr="002E17FD">
        <w:rPr>
          <w:rFonts w:ascii="Times New Roman" w:hAnsi="Times New Roman"/>
          <w:sz w:val="24"/>
          <w:szCs w:val="24"/>
          <w:lang w:val="ru"/>
        </w:rPr>
        <w:t xml:space="preserve"> (см. раздел 4.4)</w:t>
      </w:r>
      <w:r w:rsidRPr="002E17FD">
        <w:rPr>
          <w:rFonts w:ascii="Times New Roman" w:hAnsi="Times New Roman"/>
          <w:sz w:val="24"/>
          <w:szCs w:val="24"/>
          <w:lang w:val="ru"/>
        </w:rPr>
        <w:t xml:space="preserve">. </w:t>
      </w:r>
    </w:p>
    <w:p w14:paraId="79AAD9C1" w14:textId="77777777" w:rsidR="004528E1" w:rsidRPr="002E17FD" w:rsidRDefault="004528E1" w:rsidP="0078568D">
      <w:pPr>
        <w:spacing w:after="0" w:line="240" w:lineRule="auto"/>
        <w:jc w:val="both"/>
        <w:rPr>
          <w:rFonts w:ascii="Times New Roman" w:hAnsi="Times New Roman"/>
          <w:sz w:val="24"/>
          <w:szCs w:val="24"/>
          <w:lang w:val="ru"/>
        </w:rPr>
      </w:pPr>
    </w:p>
    <w:p w14:paraId="2A70A8E4" w14:textId="77777777" w:rsidR="00814DFC" w:rsidRPr="002E17FD" w:rsidRDefault="00814DFC" w:rsidP="0078568D">
      <w:pPr>
        <w:spacing w:after="0" w:line="240" w:lineRule="auto"/>
        <w:jc w:val="both"/>
        <w:rPr>
          <w:rFonts w:ascii="Times New Roman" w:hAnsi="Times New Roman"/>
          <w:b/>
          <w:sz w:val="24"/>
          <w:szCs w:val="24"/>
        </w:rPr>
      </w:pPr>
      <w:r w:rsidRPr="002E17FD">
        <w:rPr>
          <w:rFonts w:ascii="Times New Roman" w:hAnsi="Times New Roman"/>
          <w:b/>
          <w:sz w:val="24"/>
          <w:szCs w:val="24"/>
        </w:rPr>
        <w:lastRenderedPageBreak/>
        <w:t xml:space="preserve">Сообщение о подозреваемых нежелательных реакциях </w:t>
      </w:r>
    </w:p>
    <w:p w14:paraId="3F0BFC55" w14:textId="77777777" w:rsidR="004528E1" w:rsidRPr="002E17FD" w:rsidRDefault="00814DFC" w:rsidP="0078568D">
      <w:pPr>
        <w:spacing w:after="0" w:line="240" w:lineRule="auto"/>
        <w:jc w:val="both"/>
        <w:rPr>
          <w:rFonts w:ascii="Times New Roman" w:hAnsi="Times New Roman"/>
          <w:sz w:val="24"/>
          <w:szCs w:val="24"/>
        </w:rPr>
      </w:pPr>
      <w:r w:rsidRPr="002E17FD">
        <w:rPr>
          <w:rFonts w:ascii="Times New Roman" w:hAnsi="Times New Roman"/>
          <w:sz w:val="24"/>
          <w:szCs w:val="24"/>
        </w:rPr>
        <w:t xml:space="preserve">Важно сообщать о подозреваемых нежелательных реакциях после регистрации </w:t>
      </w:r>
      <w:r w:rsidR="00F6012B" w:rsidRPr="002E17FD">
        <w:rPr>
          <w:rFonts w:ascii="Times New Roman" w:hAnsi="Times New Roman"/>
          <w:sz w:val="24"/>
          <w:szCs w:val="24"/>
        </w:rPr>
        <w:t>ЛП</w:t>
      </w:r>
      <w:r w:rsidRPr="002E17FD">
        <w:rPr>
          <w:rFonts w:ascii="Times New Roman" w:hAnsi="Times New Roman"/>
          <w:sz w:val="24"/>
          <w:szCs w:val="24"/>
        </w:rPr>
        <w:t xml:space="preserve"> с целью обеспечения непрерывного мониторинга соотношения «польза – риск» </w:t>
      </w:r>
      <w:r w:rsidR="00125232" w:rsidRPr="002E17FD">
        <w:rPr>
          <w:rFonts w:ascii="Times New Roman" w:hAnsi="Times New Roman"/>
          <w:sz w:val="24"/>
          <w:szCs w:val="24"/>
        </w:rPr>
        <w:t>ЛП</w:t>
      </w:r>
      <w:r w:rsidRPr="002E17FD">
        <w:rPr>
          <w:rFonts w:ascii="Times New Roman" w:hAnsi="Times New Roman"/>
          <w:sz w:val="24"/>
          <w:szCs w:val="24"/>
        </w:rPr>
        <w:t xml:space="preserve">. Медицинским работникам рекомендуется сообщать о любых подозреваемых нежелательных реакциях </w:t>
      </w:r>
      <w:r w:rsidR="00F6012B" w:rsidRPr="002E17FD">
        <w:rPr>
          <w:rFonts w:ascii="Times New Roman" w:hAnsi="Times New Roman"/>
          <w:sz w:val="24"/>
          <w:szCs w:val="24"/>
        </w:rPr>
        <w:t>ЛП</w:t>
      </w:r>
      <w:r w:rsidRPr="002E17FD">
        <w:rPr>
          <w:rFonts w:ascii="Times New Roman" w:hAnsi="Times New Roman"/>
          <w:sz w:val="24"/>
          <w:szCs w:val="24"/>
        </w:rPr>
        <w:t xml:space="preserve"> через национальную систему сообщения о нежелательных реакциях РК.</w:t>
      </w:r>
      <w:r w:rsidR="004528E1" w:rsidRPr="002E17FD">
        <w:rPr>
          <w:rFonts w:ascii="Times New Roman" w:hAnsi="Times New Roman"/>
          <w:sz w:val="24"/>
          <w:szCs w:val="24"/>
        </w:rPr>
        <w:t xml:space="preserve"> </w:t>
      </w:r>
    </w:p>
    <w:p w14:paraId="49DC29FC" w14:textId="77777777" w:rsidR="004528E1" w:rsidRPr="002E17FD" w:rsidRDefault="004528E1" w:rsidP="0078568D">
      <w:pPr>
        <w:spacing w:after="0" w:line="240" w:lineRule="auto"/>
        <w:jc w:val="both"/>
        <w:rPr>
          <w:rFonts w:ascii="Times New Roman" w:hAnsi="Times New Roman"/>
          <w:sz w:val="24"/>
          <w:szCs w:val="24"/>
        </w:rPr>
      </w:pPr>
      <w:r w:rsidRPr="002E17FD">
        <w:rPr>
          <w:rFonts w:ascii="Times New Roman" w:hAnsi="Times New Roman"/>
          <w:sz w:val="24"/>
          <w:szCs w:val="24"/>
        </w:rPr>
        <w:t>РГП на ПХВ «Национальный Центр экспертизы лекарственных</w:t>
      </w:r>
      <w:r w:rsidR="00416507" w:rsidRPr="002E17FD">
        <w:rPr>
          <w:rFonts w:ascii="Times New Roman" w:hAnsi="Times New Roman"/>
          <w:sz w:val="24"/>
          <w:szCs w:val="24"/>
        </w:rPr>
        <w:t xml:space="preserve"> средств и медицинских изделий» </w:t>
      </w:r>
    </w:p>
    <w:p w14:paraId="1E4391F9" w14:textId="77777777" w:rsidR="00814DFC" w:rsidRPr="002E17FD" w:rsidRDefault="005238F0" w:rsidP="0078568D">
      <w:pPr>
        <w:spacing w:after="0" w:line="240" w:lineRule="auto"/>
        <w:jc w:val="both"/>
        <w:rPr>
          <w:rFonts w:ascii="Times New Roman" w:hAnsi="Times New Roman"/>
          <w:sz w:val="24"/>
          <w:szCs w:val="24"/>
        </w:rPr>
      </w:pPr>
      <w:hyperlink r:id="rId8" w:history="1">
        <w:r w:rsidR="004528E1" w:rsidRPr="002E17FD">
          <w:rPr>
            <w:rStyle w:val="af"/>
            <w:rFonts w:ascii="Times New Roman" w:hAnsi="Times New Roman"/>
            <w:sz w:val="24"/>
            <w:szCs w:val="24"/>
            <w:lang w:val="en-US"/>
          </w:rPr>
          <w:t>http</w:t>
        </w:r>
        <w:r w:rsidR="004528E1" w:rsidRPr="002E17FD">
          <w:rPr>
            <w:rStyle w:val="af"/>
            <w:rFonts w:ascii="Times New Roman" w:hAnsi="Times New Roman"/>
            <w:sz w:val="24"/>
            <w:szCs w:val="24"/>
          </w:rPr>
          <w:t>://</w:t>
        </w:r>
        <w:r w:rsidR="004528E1" w:rsidRPr="002E17FD">
          <w:rPr>
            <w:rStyle w:val="af"/>
            <w:rFonts w:ascii="Times New Roman" w:hAnsi="Times New Roman"/>
            <w:sz w:val="24"/>
            <w:szCs w:val="24"/>
            <w:lang w:val="en-US"/>
          </w:rPr>
          <w:t>www</w:t>
        </w:r>
        <w:r w:rsidR="004528E1" w:rsidRPr="002E17FD">
          <w:rPr>
            <w:rStyle w:val="af"/>
            <w:rFonts w:ascii="Times New Roman" w:hAnsi="Times New Roman"/>
            <w:sz w:val="24"/>
            <w:szCs w:val="24"/>
          </w:rPr>
          <w:t>.</w:t>
        </w:r>
        <w:r w:rsidR="004528E1" w:rsidRPr="002E17FD">
          <w:rPr>
            <w:rStyle w:val="af"/>
            <w:rFonts w:ascii="Times New Roman" w:hAnsi="Times New Roman"/>
            <w:sz w:val="24"/>
            <w:szCs w:val="24"/>
            <w:lang w:val="en-US"/>
          </w:rPr>
          <w:t>ndda</w:t>
        </w:r>
        <w:r w:rsidR="004528E1" w:rsidRPr="002E17FD">
          <w:rPr>
            <w:rStyle w:val="af"/>
            <w:rFonts w:ascii="Times New Roman" w:hAnsi="Times New Roman"/>
            <w:sz w:val="24"/>
            <w:szCs w:val="24"/>
          </w:rPr>
          <w:t>.</w:t>
        </w:r>
        <w:r w:rsidR="004528E1" w:rsidRPr="002E17FD">
          <w:rPr>
            <w:rStyle w:val="af"/>
            <w:rFonts w:ascii="Times New Roman" w:hAnsi="Times New Roman"/>
            <w:sz w:val="24"/>
            <w:szCs w:val="24"/>
            <w:lang w:val="en-US"/>
          </w:rPr>
          <w:t>kz</w:t>
        </w:r>
      </w:hyperlink>
    </w:p>
    <w:p w14:paraId="2143C6BD" w14:textId="77777777" w:rsidR="001B27CF" w:rsidRPr="002E17FD" w:rsidRDefault="001B27CF" w:rsidP="0078568D">
      <w:pPr>
        <w:spacing w:after="0" w:line="240" w:lineRule="auto"/>
        <w:jc w:val="both"/>
        <w:rPr>
          <w:rFonts w:ascii="Times New Roman" w:eastAsia="Times New Roman" w:hAnsi="Times New Roman"/>
          <w:sz w:val="24"/>
          <w:szCs w:val="24"/>
          <w:lang w:eastAsia="ru-RU"/>
        </w:rPr>
      </w:pPr>
    </w:p>
    <w:p w14:paraId="402C0CDD" w14:textId="77777777" w:rsidR="00C12F16" w:rsidRPr="002E17FD" w:rsidRDefault="00123DB5" w:rsidP="00C12F16">
      <w:pPr>
        <w:spacing w:after="0" w:line="240" w:lineRule="auto"/>
        <w:jc w:val="both"/>
        <w:rPr>
          <w:rFonts w:ascii="Times New Roman" w:hAnsi="Times New Roman"/>
          <w:color w:val="000000"/>
          <w:sz w:val="24"/>
          <w:szCs w:val="24"/>
        </w:rPr>
      </w:pPr>
      <w:r w:rsidRPr="002E17FD">
        <w:rPr>
          <w:rFonts w:ascii="Times New Roman" w:eastAsia="Times New Roman" w:hAnsi="Times New Roman"/>
          <w:b/>
          <w:sz w:val="24"/>
          <w:szCs w:val="24"/>
          <w:lang w:eastAsia="ru-RU"/>
        </w:rPr>
        <w:t>4.9 Передозировка</w:t>
      </w:r>
    </w:p>
    <w:p w14:paraId="74F649B5" w14:textId="77777777" w:rsidR="001B27CF" w:rsidRPr="002E17FD" w:rsidRDefault="001B27CF" w:rsidP="00C12F16">
      <w:pPr>
        <w:spacing w:after="0" w:line="240" w:lineRule="auto"/>
        <w:jc w:val="both"/>
        <w:rPr>
          <w:rFonts w:ascii="Times New Roman" w:hAnsi="Times New Roman"/>
          <w:color w:val="000000"/>
          <w:sz w:val="24"/>
          <w:szCs w:val="24"/>
        </w:rPr>
      </w:pPr>
      <w:r w:rsidRPr="002E17FD">
        <w:rPr>
          <w:rFonts w:ascii="Times New Roman" w:hAnsi="Times New Roman"/>
          <w:sz w:val="24"/>
          <w:lang w:val="ru"/>
        </w:rPr>
        <w:t xml:space="preserve">Не существует специфического антидота для ингибирования фосфорилирования тирозина EGFR (ErbB1) и/или HER2 (ErbB2). Максимальная пероральная суточная доза лапатиниба в клинических исследованиях составляла 1800 мг. </w:t>
      </w:r>
    </w:p>
    <w:p w14:paraId="27769346" w14:textId="3134CDC6" w:rsidR="001B27CF" w:rsidRPr="002E17FD" w:rsidRDefault="001B27CF" w:rsidP="001B27CF">
      <w:pPr>
        <w:spacing w:after="0" w:line="240" w:lineRule="auto"/>
        <w:ind w:left="-6" w:right="6"/>
        <w:jc w:val="both"/>
        <w:rPr>
          <w:rFonts w:ascii="Times New Roman" w:hAnsi="Times New Roman"/>
          <w:sz w:val="24"/>
        </w:rPr>
      </w:pPr>
      <w:r w:rsidRPr="002E17FD">
        <w:rPr>
          <w:rFonts w:ascii="Times New Roman" w:hAnsi="Times New Roman"/>
          <w:sz w:val="24"/>
          <w:lang w:val="ru"/>
        </w:rPr>
        <w:t xml:space="preserve">Сообщалось о бессимптомных и симптоматичных случаях передозировки у пациентов, принимавших </w:t>
      </w:r>
      <w:r w:rsidR="00C024F8" w:rsidRPr="002E17FD">
        <w:rPr>
          <w:rFonts w:ascii="Times New Roman" w:hAnsi="Times New Roman"/>
          <w:sz w:val="24"/>
          <w:lang w:val="ru"/>
        </w:rPr>
        <w:t>лапатиниб</w:t>
      </w:r>
      <w:r w:rsidRPr="002E17FD">
        <w:rPr>
          <w:rFonts w:ascii="Times New Roman" w:hAnsi="Times New Roman"/>
          <w:sz w:val="24"/>
          <w:lang w:val="ru"/>
        </w:rPr>
        <w:t>. У пациентов, принимавших до 5000 мг лапатиниба, наблюдались симптомы, связанные с приемом лапатиниба, в некоторых случаях – раздражение кожи и/или воспаление слизистых</w:t>
      </w:r>
      <w:r w:rsidR="003517E3" w:rsidRPr="002E17FD">
        <w:rPr>
          <w:rFonts w:ascii="Times New Roman" w:hAnsi="Times New Roman"/>
          <w:sz w:val="24"/>
          <w:lang w:val="ru"/>
        </w:rPr>
        <w:t xml:space="preserve"> (см. раздел 4.8)</w:t>
      </w:r>
      <w:r w:rsidRPr="002E17FD">
        <w:rPr>
          <w:rFonts w:ascii="Times New Roman" w:hAnsi="Times New Roman"/>
          <w:sz w:val="24"/>
          <w:lang w:val="ru"/>
        </w:rPr>
        <w:t xml:space="preserve">. В одном случае при приеме 9000 мг </w:t>
      </w:r>
      <w:r w:rsidR="00F455DB" w:rsidRPr="002E17FD">
        <w:rPr>
          <w:rFonts w:ascii="Times New Roman" w:hAnsi="Times New Roman"/>
          <w:sz w:val="24"/>
          <w:lang w:val="ru"/>
        </w:rPr>
        <w:t>лапатиниба</w:t>
      </w:r>
      <w:r w:rsidRPr="002E17FD">
        <w:rPr>
          <w:rFonts w:ascii="Times New Roman" w:hAnsi="Times New Roman"/>
          <w:sz w:val="24"/>
          <w:lang w:val="ru"/>
        </w:rPr>
        <w:t xml:space="preserve"> было выявлено развитие синусовой тахикардии (с изменением ЭКГ). </w:t>
      </w:r>
    </w:p>
    <w:p w14:paraId="0AFCBB46" w14:textId="77777777" w:rsidR="001B27CF" w:rsidRPr="002E17FD" w:rsidRDefault="001B27CF" w:rsidP="001B27CF">
      <w:pPr>
        <w:spacing w:after="0" w:line="240" w:lineRule="auto"/>
        <w:ind w:left="-6" w:right="6"/>
        <w:jc w:val="both"/>
        <w:rPr>
          <w:rFonts w:ascii="Times New Roman" w:hAnsi="Times New Roman"/>
          <w:sz w:val="24"/>
          <w:lang w:val="ru"/>
        </w:rPr>
      </w:pPr>
      <w:r w:rsidRPr="002E17FD">
        <w:rPr>
          <w:rFonts w:ascii="Times New Roman" w:hAnsi="Times New Roman"/>
          <w:sz w:val="24"/>
          <w:lang w:val="ru"/>
        </w:rPr>
        <w:t xml:space="preserve">Лапатиниб, в основном, не выводится через почки и сильно связан с белками плазмы, поэтому считается, что гемодиализ не является эффективным методом для улучшения выведения лапатиниба. </w:t>
      </w:r>
    </w:p>
    <w:p w14:paraId="1CA933EA" w14:textId="77777777" w:rsidR="001B27CF" w:rsidRPr="002E17FD" w:rsidRDefault="001B27CF" w:rsidP="001B27CF">
      <w:pPr>
        <w:spacing w:after="0" w:line="240" w:lineRule="auto"/>
        <w:ind w:left="-6" w:right="6"/>
        <w:jc w:val="both"/>
        <w:rPr>
          <w:rFonts w:ascii="Times New Roman" w:hAnsi="Times New Roman"/>
          <w:sz w:val="24"/>
        </w:rPr>
      </w:pPr>
      <w:r w:rsidRPr="002E17FD">
        <w:rPr>
          <w:rFonts w:ascii="Times New Roman" w:hAnsi="Times New Roman"/>
          <w:sz w:val="24"/>
          <w:lang w:val="ru"/>
        </w:rPr>
        <w:t xml:space="preserve">Дальнейшие меры принимаются в соответствии с клиническими показаниями или рекомендациями национальных токсикологических центров, если имеются. </w:t>
      </w:r>
    </w:p>
    <w:p w14:paraId="2239566D" w14:textId="77777777" w:rsidR="00ED4BEF" w:rsidRPr="002E17FD" w:rsidRDefault="00ED4BEF" w:rsidP="0078568D">
      <w:pPr>
        <w:autoSpaceDE w:val="0"/>
        <w:autoSpaceDN w:val="0"/>
        <w:adjustRightInd w:val="0"/>
        <w:spacing w:after="0" w:line="240" w:lineRule="auto"/>
        <w:rPr>
          <w:rFonts w:ascii="Times New Roman" w:hAnsi="Times New Roman"/>
          <w:b/>
          <w:sz w:val="24"/>
          <w:szCs w:val="24"/>
          <w:lang w:eastAsia="ru-RU"/>
        </w:rPr>
      </w:pPr>
    </w:p>
    <w:p w14:paraId="0CB552D7" w14:textId="77777777" w:rsidR="00C153F2" w:rsidRPr="002E17FD" w:rsidRDefault="00C153F2" w:rsidP="0078568D">
      <w:pPr>
        <w:autoSpaceDE w:val="0"/>
        <w:autoSpaceDN w:val="0"/>
        <w:adjustRightInd w:val="0"/>
        <w:spacing w:after="0" w:line="240" w:lineRule="auto"/>
        <w:rPr>
          <w:rFonts w:ascii="Times New Roman" w:eastAsia="TimesNewRomanPSMT" w:hAnsi="Times New Roman"/>
          <w:b/>
          <w:sz w:val="24"/>
          <w:szCs w:val="24"/>
          <w:lang w:eastAsia="ru-RU"/>
        </w:rPr>
      </w:pPr>
      <w:r w:rsidRPr="002E17FD">
        <w:rPr>
          <w:rFonts w:ascii="Times New Roman" w:hAnsi="Times New Roman"/>
          <w:b/>
          <w:sz w:val="24"/>
          <w:szCs w:val="24"/>
          <w:lang w:eastAsia="ru-RU"/>
        </w:rPr>
        <w:t xml:space="preserve">5. </w:t>
      </w:r>
      <w:r w:rsidRPr="002E17FD">
        <w:rPr>
          <w:rFonts w:ascii="Times New Roman" w:eastAsia="TimesNewRomanPSMT" w:hAnsi="Times New Roman"/>
          <w:b/>
          <w:sz w:val="24"/>
          <w:szCs w:val="24"/>
          <w:lang w:eastAsia="ru-RU"/>
        </w:rPr>
        <w:t>ФАРМАКОЛОГИЧЕСКИЕ СВОЙСТВА</w:t>
      </w:r>
    </w:p>
    <w:p w14:paraId="2337C146" w14:textId="77777777" w:rsidR="00C153F2" w:rsidRPr="002E17FD" w:rsidRDefault="00C153F2" w:rsidP="0078568D">
      <w:pPr>
        <w:autoSpaceDE w:val="0"/>
        <w:autoSpaceDN w:val="0"/>
        <w:adjustRightInd w:val="0"/>
        <w:spacing w:after="0" w:line="240" w:lineRule="auto"/>
        <w:rPr>
          <w:rFonts w:ascii="Times New Roman" w:eastAsia="TimesNewRomanPSMT" w:hAnsi="Times New Roman"/>
          <w:b/>
          <w:sz w:val="24"/>
          <w:szCs w:val="24"/>
          <w:lang w:eastAsia="ru-RU"/>
        </w:rPr>
      </w:pPr>
      <w:r w:rsidRPr="002E17FD">
        <w:rPr>
          <w:rFonts w:ascii="Times New Roman" w:hAnsi="Times New Roman"/>
          <w:b/>
          <w:sz w:val="24"/>
          <w:szCs w:val="24"/>
          <w:lang w:eastAsia="ru-RU"/>
        </w:rPr>
        <w:t xml:space="preserve">5.1. </w:t>
      </w:r>
      <w:r w:rsidRPr="002E17FD">
        <w:rPr>
          <w:rFonts w:ascii="Times New Roman" w:eastAsia="TimesNewRomanPSMT" w:hAnsi="Times New Roman"/>
          <w:b/>
          <w:sz w:val="24"/>
          <w:szCs w:val="24"/>
          <w:lang w:eastAsia="ru-RU"/>
        </w:rPr>
        <w:t>Фармакодинамические свойства</w:t>
      </w:r>
    </w:p>
    <w:p w14:paraId="11F9C7E8" w14:textId="05F13FF7" w:rsidR="0097765C" w:rsidRPr="002E17FD" w:rsidRDefault="00127040" w:rsidP="0097765C">
      <w:pPr>
        <w:spacing w:after="0" w:line="20" w:lineRule="atLeast"/>
        <w:jc w:val="both"/>
        <w:rPr>
          <w:rFonts w:ascii="Times New Roman" w:hAnsi="Times New Roman"/>
          <w:sz w:val="24"/>
          <w:szCs w:val="24"/>
        </w:rPr>
      </w:pPr>
      <w:r w:rsidRPr="002E17FD">
        <w:rPr>
          <w:rFonts w:ascii="Times New Roman" w:hAnsi="Times New Roman"/>
          <w:sz w:val="24"/>
          <w:szCs w:val="24"/>
        </w:rPr>
        <w:t xml:space="preserve">Фармакотерапевтическая группа: </w:t>
      </w:r>
      <w:r w:rsidR="0097765C" w:rsidRPr="002E17FD">
        <w:rPr>
          <w:rFonts w:ascii="Times New Roman" w:hAnsi="Times New Roman"/>
          <w:sz w:val="24"/>
          <w:szCs w:val="24"/>
        </w:rPr>
        <w:t>Антинеопластические препараты. Протеинкиназы ингибиторы. Ингибиторы тирозинкиназы рецептора эпидермального фактора роста 2 (HER2) человека. Лапатиниб.</w:t>
      </w:r>
    </w:p>
    <w:p w14:paraId="33B4A6CE" w14:textId="1937EFDE" w:rsidR="00127040" w:rsidRPr="002E17FD" w:rsidRDefault="00127040" w:rsidP="0097765C">
      <w:pPr>
        <w:spacing w:after="0" w:line="20" w:lineRule="atLeast"/>
        <w:jc w:val="both"/>
        <w:rPr>
          <w:rFonts w:ascii="Times New Roman" w:hAnsi="Times New Roman"/>
          <w:sz w:val="24"/>
          <w:szCs w:val="24"/>
        </w:rPr>
      </w:pPr>
      <w:r w:rsidRPr="002E17FD">
        <w:rPr>
          <w:rFonts w:ascii="Times New Roman" w:hAnsi="Times New Roman"/>
          <w:sz w:val="24"/>
          <w:szCs w:val="24"/>
        </w:rPr>
        <w:t xml:space="preserve">Код АТХ </w:t>
      </w:r>
      <w:r w:rsidR="0097765C" w:rsidRPr="002E17FD">
        <w:rPr>
          <w:rFonts w:ascii="Times New Roman" w:hAnsi="Times New Roman"/>
          <w:sz w:val="24"/>
          <w:szCs w:val="24"/>
        </w:rPr>
        <w:t>L01ЕН01</w:t>
      </w:r>
    </w:p>
    <w:p w14:paraId="34700F25" w14:textId="77777777" w:rsidR="00127040" w:rsidRPr="002E17FD" w:rsidRDefault="00127040" w:rsidP="00127040">
      <w:pPr>
        <w:spacing w:after="0" w:line="20" w:lineRule="atLeast"/>
        <w:jc w:val="both"/>
        <w:rPr>
          <w:rFonts w:ascii="Times New Roman" w:hAnsi="Times New Roman"/>
          <w:i/>
          <w:sz w:val="24"/>
          <w:szCs w:val="24"/>
        </w:rPr>
      </w:pPr>
      <w:r w:rsidRPr="002E17FD">
        <w:rPr>
          <w:rFonts w:ascii="Times New Roman" w:hAnsi="Times New Roman"/>
          <w:i/>
          <w:sz w:val="24"/>
          <w:szCs w:val="24"/>
          <w:lang w:val="ru"/>
        </w:rPr>
        <w:t xml:space="preserve">Механизм действия </w:t>
      </w:r>
    </w:p>
    <w:p w14:paraId="4A01BDE8" w14:textId="77777777" w:rsidR="00127040" w:rsidRPr="002E17FD" w:rsidRDefault="00127040" w:rsidP="00127040">
      <w:pPr>
        <w:spacing w:after="0" w:line="20" w:lineRule="atLeast"/>
        <w:ind w:left="-5" w:right="7"/>
        <w:jc w:val="both"/>
        <w:rPr>
          <w:rFonts w:ascii="Times New Roman" w:hAnsi="Times New Roman"/>
          <w:sz w:val="24"/>
          <w:szCs w:val="24"/>
          <w:lang w:val="ru"/>
        </w:rPr>
      </w:pPr>
      <w:r w:rsidRPr="002E17FD">
        <w:rPr>
          <w:rFonts w:ascii="Times New Roman" w:hAnsi="Times New Roman"/>
          <w:sz w:val="24"/>
          <w:szCs w:val="24"/>
          <w:lang w:val="ru"/>
        </w:rPr>
        <w:t>Лапатиниб, 4-анилиноквиназолин, ингибитор внутриклеточной тирозинкиназы рецепторов EGFR (ErbB1) и HER2 (ErbB2) (расчетное значение Ki</w:t>
      </w:r>
      <w:r w:rsidRPr="002E17FD">
        <w:rPr>
          <w:rFonts w:ascii="Times New Roman" w:hAnsi="Times New Roman"/>
          <w:sz w:val="24"/>
          <w:szCs w:val="24"/>
          <w:vertAlign w:val="superscript"/>
          <w:lang w:val="ru"/>
        </w:rPr>
        <w:t>app</w:t>
      </w:r>
      <w:r w:rsidRPr="002E17FD">
        <w:rPr>
          <w:rFonts w:ascii="Times New Roman" w:hAnsi="Times New Roman"/>
          <w:sz w:val="24"/>
          <w:szCs w:val="24"/>
          <w:lang w:val="ru"/>
        </w:rPr>
        <w:t xml:space="preserve"> 3нМ и 13 нМ, соответственно) с медленной скоростью диссоциации этих рецепторов (период полураспада больше или равен 300 мин.) Лапатиниб ингибирует рост опухолевых клеток под действием ErbB </w:t>
      </w:r>
      <w:r w:rsidRPr="002E17FD">
        <w:rPr>
          <w:rFonts w:ascii="Times New Roman" w:hAnsi="Times New Roman"/>
          <w:i/>
          <w:iCs/>
          <w:sz w:val="24"/>
          <w:szCs w:val="24"/>
          <w:lang w:val="ru"/>
        </w:rPr>
        <w:t xml:space="preserve">in vitro </w:t>
      </w:r>
      <w:r w:rsidRPr="002E17FD">
        <w:rPr>
          <w:rFonts w:ascii="Times New Roman" w:hAnsi="Times New Roman"/>
          <w:sz w:val="24"/>
          <w:szCs w:val="24"/>
          <w:lang w:val="ru"/>
        </w:rPr>
        <w:t>в различных</w:t>
      </w:r>
      <w:r w:rsidRPr="002E17FD">
        <w:rPr>
          <w:rFonts w:ascii="Times New Roman" w:hAnsi="Times New Roman"/>
          <w:i/>
          <w:iCs/>
          <w:sz w:val="24"/>
          <w:szCs w:val="24"/>
          <w:lang w:val="ru"/>
        </w:rPr>
        <w:t xml:space="preserve"> </w:t>
      </w:r>
      <w:r w:rsidRPr="002E17FD">
        <w:rPr>
          <w:rFonts w:ascii="Times New Roman" w:hAnsi="Times New Roman"/>
          <w:sz w:val="24"/>
          <w:szCs w:val="24"/>
          <w:lang w:val="ru"/>
        </w:rPr>
        <w:t xml:space="preserve">экспериментальных моделях на животных. </w:t>
      </w:r>
    </w:p>
    <w:p w14:paraId="3FDF415A" w14:textId="77777777" w:rsidR="00127040" w:rsidRPr="002E17FD" w:rsidRDefault="00127040" w:rsidP="00127040">
      <w:pPr>
        <w:spacing w:after="0" w:line="20" w:lineRule="atLeast"/>
        <w:ind w:left="-5" w:right="7"/>
        <w:jc w:val="both"/>
        <w:rPr>
          <w:rFonts w:ascii="Times New Roman" w:hAnsi="Times New Roman"/>
          <w:sz w:val="24"/>
          <w:szCs w:val="24"/>
          <w:lang w:val="ru"/>
        </w:rPr>
      </w:pPr>
      <w:r w:rsidRPr="002E17FD">
        <w:rPr>
          <w:rFonts w:ascii="Times New Roman" w:hAnsi="Times New Roman"/>
          <w:sz w:val="24"/>
          <w:szCs w:val="24"/>
          <w:lang w:val="ru"/>
        </w:rPr>
        <w:t xml:space="preserve">Сочетание лапатиниба и трастузумаба может содействовать дополнительным механизмам действия, а также возможным неперекрывающимся механизмам устойчивости. Ингибирующее воздействие лапатиниба на рост было оценено в клеточных линиях, находящихся под действием трастузумаба. Лапатиниб сохранял значительную активность в отношении клеточных линий рака молочной железы, усиленных HER2, выбранных для длительного роста </w:t>
      </w:r>
      <w:r w:rsidRPr="002E17FD">
        <w:rPr>
          <w:rFonts w:ascii="Times New Roman" w:hAnsi="Times New Roman"/>
          <w:i/>
          <w:iCs/>
          <w:sz w:val="24"/>
          <w:szCs w:val="24"/>
          <w:lang w:val="ru"/>
        </w:rPr>
        <w:t>in vitro</w:t>
      </w:r>
      <w:r w:rsidRPr="002E17FD">
        <w:rPr>
          <w:rFonts w:ascii="Times New Roman" w:hAnsi="Times New Roman"/>
          <w:sz w:val="24"/>
          <w:szCs w:val="24"/>
          <w:lang w:val="ru"/>
        </w:rPr>
        <w:t xml:space="preserve"> в средах, содержащих трастузумаб, оказывая синергическое действие в сочетании с трастузумабом на эти клеточные линии. </w:t>
      </w:r>
    </w:p>
    <w:p w14:paraId="72DAEBE4" w14:textId="77777777" w:rsidR="00127040" w:rsidRPr="002E17FD" w:rsidRDefault="00127040" w:rsidP="00127040">
      <w:pPr>
        <w:spacing w:after="0" w:line="20" w:lineRule="atLeast"/>
        <w:ind w:left="-5" w:right="7"/>
        <w:jc w:val="both"/>
        <w:rPr>
          <w:rFonts w:ascii="Times New Roman" w:hAnsi="Times New Roman"/>
          <w:i/>
          <w:sz w:val="24"/>
          <w:szCs w:val="24"/>
          <w:u w:val="single"/>
          <w:lang w:val="ru"/>
        </w:rPr>
      </w:pPr>
      <w:r w:rsidRPr="002E17FD">
        <w:rPr>
          <w:rFonts w:ascii="Times New Roman" w:hAnsi="Times New Roman"/>
          <w:i/>
          <w:sz w:val="24"/>
          <w:szCs w:val="24"/>
          <w:u w:val="single"/>
          <w:lang w:val="ru"/>
        </w:rPr>
        <w:t xml:space="preserve">Клиническая эффективность и безопасность </w:t>
      </w:r>
    </w:p>
    <w:p w14:paraId="53986DA2" w14:textId="77777777" w:rsidR="00127040" w:rsidRPr="002E17FD" w:rsidRDefault="00127040" w:rsidP="00127040">
      <w:pPr>
        <w:spacing w:after="0" w:line="20" w:lineRule="atLeast"/>
        <w:ind w:left="-5" w:right="7"/>
        <w:jc w:val="both"/>
        <w:rPr>
          <w:rFonts w:ascii="Times New Roman" w:hAnsi="Times New Roman"/>
          <w:i/>
          <w:sz w:val="24"/>
          <w:szCs w:val="24"/>
        </w:rPr>
      </w:pPr>
      <w:r w:rsidRPr="002E17FD">
        <w:rPr>
          <w:rFonts w:ascii="Times New Roman" w:hAnsi="Times New Roman"/>
          <w:i/>
          <w:iCs/>
          <w:sz w:val="24"/>
          <w:szCs w:val="24"/>
          <w:lang w:val="ru"/>
        </w:rPr>
        <w:t xml:space="preserve">Сочетанное применение </w:t>
      </w:r>
      <w:r w:rsidR="00ED4BEF" w:rsidRPr="002E17FD">
        <w:rPr>
          <w:rFonts w:ascii="Times New Roman" w:hAnsi="Times New Roman"/>
          <w:i/>
          <w:iCs/>
          <w:sz w:val="24"/>
          <w:szCs w:val="24"/>
          <w:lang w:val="ru"/>
        </w:rPr>
        <w:t>л</w:t>
      </w:r>
      <w:r w:rsidR="00766202" w:rsidRPr="002E17FD">
        <w:rPr>
          <w:rFonts w:ascii="Times New Roman" w:hAnsi="Times New Roman"/>
          <w:i/>
          <w:iCs/>
          <w:sz w:val="24"/>
          <w:szCs w:val="24"/>
          <w:lang w:val="ru"/>
        </w:rPr>
        <w:t>апатиниба</w:t>
      </w:r>
      <w:r w:rsidRPr="002E17FD">
        <w:rPr>
          <w:rFonts w:ascii="Times New Roman" w:hAnsi="Times New Roman"/>
          <w:i/>
          <w:iCs/>
          <w:sz w:val="24"/>
          <w:szCs w:val="24"/>
          <w:lang w:val="ru"/>
        </w:rPr>
        <w:t xml:space="preserve"> и капецитабина </w:t>
      </w:r>
    </w:p>
    <w:p w14:paraId="19B2B798" w14:textId="77777777" w:rsidR="00127040" w:rsidRPr="002E17FD" w:rsidRDefault="00127040" w:rsidP="00127040">
      <w:pPr>
        <w:spacing w:after="0" w:line="20" w:lineRule="atLeast"/>
        <w:ind w:left="-5" w:right="7"/>
        <w:jc w:val="both"/>
        <w:rPr>
          <w:rFonts w:ascii="Times New Roman" w:hAnsi="Times New Roman"/>
          <w:sz w:val="24"/>
          <w:szCs w:val="24"/>
          <w:lang w:val="ru"/>
        </w:rPr>
      </w:pPr>
      <w:r w:rsidRPr="002E17FD">
        <w:rPr>
          <w:rFonts w:ascii="Times New Roman" w:hAnsi="Times New Roman"/>
          <w:sz w:val="24"/>
          <w:szCs w:val="24"/>
          <w:lang w:val="ru"/>
        </w:rPr>
        <w:t xml:space="preserve">Эффективность и безопасность применения </w:t>
      </w:r>
      <w:r w:rsidR="00ED4BEF" w:rsidRPr="002E17FD">
        <w:rPr>
          <w:rFonts w:ascii="Times New Roman" w:hAnsi="Times New Roman"/>
          <w:sz w:val="24"/>
          <w:szCs w:val="24"/>
          <w:lang w:val="ru"/>
        </w:rPr>
        <w:t>л</w:t>
      </w:r>
      <w:r w:rsidR="00766202" w:rsidRPr="002E17FD">
        <w:rPr>
          <w:rFonts w:ascii="Times New Roman" w:hAnsi="Times New Roman"/>
          <w:sz w:val="24"/>
          <w:szCs w:val="24"/>
          <w:lang w:val="ru"/>
        </w:rPr>
        <w:t>апатиниба</w:t>
      </w:r>
      <w:r w:rsidRPr="002E17FD">
        <w:rPr>
          <w:rFonts w:ascii="Times New Roman" w:hAnsi="Times New Roman"/>
          <w:sz w:val="24"/>
          <w:szCs w:val="24"/>
          <w:lang w:val="ru"/>
        </w:rPr>
        <w:t xml:space="preserve"> в сочетании с капецитабином при лечении пациенток с раком молочной железы оценивались в рандомизированном исследовании фазы III. Пациенты, допущенные к исследованию, имели </w:t>
      </w:r>
      <w:r w:rsidRPr="002E17FD">
        <w:rPr>
          <w:rFonts w:ascii="Times New Roman" w:hAnsi="Times New Roman"/>
          <w:sz w:val="24"/>
          <w:szCs w:val="24"/>
          <w:lang w:val="ru"/>
        </w:rPr>
        <w:lastRenderedPageBreak/>
        <w:t xml:space="preserve">местнораспространенный или метастатический рак молочной железы с гиперэкспрессией HER2, прогрессирующий после предварительного лечения, которое включало таксаны, антрациклины и трастузумаб. Оценивалась фракция выброса левого желудочка у всех пациентов (с использованием эхокардиографии или радиоизотопной вентрикулографии [MUGA]) до начала лечения </w:t>
      </w:r>
      <w:r w:rsidR="001129DE" w:rsidRPr="002E17FD">
        <w:rPr>
          <w:rFonts w:ascii="Times New Roman" w:hAnsi="Times New Roman"/>
          <w:sz w:val="24"/>
          <w:szCs w:val="24"/>
          <w:lang w:val="ru"/>
        </w:rPr>
        <w:t>л</w:t>
      </w:r>
      <w:r w:rsidR="00C86460" w:rsidRPr="002E17FD">
        <w:rPr>
          <w:rFonts w:ascii="Times New Roman" w:hAnsi="Times New Roman"/>
          <w:sz w:val="24"/>
          <w:szCs w:val="24"/>
          <w:lang w:val="ru"/>
        </w:rPr>
        <w:t>апатинибом</w:t>
      </w:r>
      <w:r w:rsidRPr="002E17FD">
        <w:rPr>
          <w:rFonts w:ascii="Times New Roman" w:hAnsi="Times New Roman"/>
          <w:sz w:val="24"/>
          <w:szCs w:val="24"/>
          <w:lang w:val="ru"/>
        </w:rPr>
        <w:t xml:space="preserve">, чтобы исходное значение фракции выброса левого желудочка было в пределах нормы. В клиническом исследовании во время лечения </w:t>
      </w:r>
      <w:r w:rsidR="001129DE" w:rsidRPr="002E17FD">
        <w:rPr>
          <w:rFonts w:ascii="Times New Roman" w:hAnsi="Times New Roman"/>
          <w:sz w:val="24"/>
          <w:szCs w:val="24"/>
          <w:lang w:val="ru"/>
        </w:rPr>
        <w:t>л</w:t>
      </w:r>
      <w:r w:rsidR="00C86460" w:rsidRPr="002E17FD">
        <w:rPr>
          <w:rFonts w:ascii="Times New Roman" w:hAnsi="Times New Roman"/>
          <w:sz w:val="24"/>
          <w:szCs w:val="24"/>
          <w:lang w:val="ru"/>
        </w:rPr>
        <w:t>апатинибом</w:t>
      </w:r>
      <w:r w:rsidRPr="002E17FD">
        <w:rPr>
          <w:rFonts w:ascii="Times New Roman" w:hAnsi="Times New Roman"/>
          <w:sz w:val="24"/>
          <w:szCs w:val="24"/>
          <w:lang w:val="ru"/>
        </w:rPr>
        <w:t xml:space="preserve"> фракция выброса левого желудочка контролировалась примерно с интервалом в восемь недель, чтобы значение не оказалось ниже нижнего предела нормы. Большинство сниженных значений фракции выброса левого желудочка (больше 60% случаев) наблюдались в течение первых девяти недель лечения, однако имеются ограниченные данные в отношении длительного воздействия. </w:t>
      </w:r>
    </w:p>
    <w:p w14:paraId="783A1097" w14:textId="097423AD" w:rsidR="00127040" w:rsidRPr="002E17FD" w:rsidRDefault="00127040" w:rsidP="00C12F16">
      <w:pPr>
        <w:spacing w:after="0" w:line="20" w:lineRule="atLeast"/>
        <w:ind w:left="-5" w:right="99"/>
        <w:jc w:val="both"/>
        <w:rPr>
          <w:rFonts w:ascii="Times New Roman" w:hAnsi="Times New Roman"/>
          <w:sz w:val="24"/>
          <w:szCs w:val="24"/>
          <w:lang w:val="ru"/>
        </w:rPr>
      </w:pPr>
      <w:r w:rsidRPr="002E17FD">
        <w:rPr>
          <w:rFonts w:ascii="Times New Roman" w:hAnsi="Times New Roman"/>
          <w:sz w:val="24"/>
          <w:szCs w:val="24"/>
          <w:lang w:val="ru"/>
        </w:rPr>
        <w:t xml:space="preserve">Пациентов случайным образом распределили для получения </w:t>
      </w:r>
      <w:r w:rsidR="001129DE" w:rsidRPr="002E17FD">
        <w:rPr>
          <w:rFonts w:ascii="Times New Roman" w:hAnsi="Times New Roman"/>
          <w:sz w:val="24"/>
          <w:szCs w:val="24"/>
          <w:lang w:val="ru"/>
        </w:rPr>
        <w:t>л</w:t>
      </w:r>
      <w:r w:rsidR="00C86460" w:rsidRPr="002E17FD">
        <w:rPr>
          <w:rFonts w:ascii="Times New Roman" w:hAnsi="Times New Roman"/>
          <w:sz w:val="24"/>
          <w:szCs w:val="24"/>
          <w:lang w:val="ru"/>
        </w:rPr>
        <w:t>апатиниба</w:t>
      </w:r>
      <w:r w:rsidRPr="002E17FD">
        <w:rPr>
          <w:rFonts w:ascii="Times New Roman" w:hAnsi="Times New Roman"/>
          <w:sz w:val="24"/>
          <w:szCs w:val="24"/>
          <w:lang w:val="ru"/>
        </w:rPr>
        <w:t xml:space="preserve"> в дозе 1250 мг один раз в день (постоянно) плюс капецитабин (2000 мг/м</w:t>
      </w:r>
      <w:r w:rsidRPr="002E17FD">
        <w:rPr>
          <w:rFonts w:ascii="Times New Roman" w:hAnsi="Times New Roman"/>
          <w:sz w:val="24"/>
          <w:szCs w:val="24"/>
          <w:vertAlign w:val="superscript"/>
          <w:lang w:val="ru"/>
        </w:rPr>
        <w:t>2</w:t>
      </w:r>
      <w:r w:rsidRPr="002E17FD">
        <w:rPr>
          <w:rFonts w:ascii="Times New Roman" w:hAnsi="Times New Roman"/>
          <w:sz w:val="24"/>
          <w:szCs w:val="24"/>
          <w:lang w:val="ru"/>
        </w:rPr>
        <w:t>/сутки в 1–14 дни кажды</w:t>
      </w:r>
      <w:r w:rsidR="00506C46" w:rsidRPr="002E17FD">
        <w:rPr>
          <w:rFonts w:ascii="Times New Roman" w:hAnsi="Times New Roman"/>
          <w:sz w:val="24"/>
          <w:szCs w:val="24"/>
          <w:lang w:val="ru"/>
        </w:rPr>
        <w:t>й</w:t>
      </w:r>
      <w:r w:rsidRPr="002E17FD">
        <w:rPr>
          <w:rFonts w:ascii="Times New Roman" w:hAnsi="Times New Roman"/>
          <w:sz w:val="24"/>
          <w:szCs w:val="24"/>
          <w:lang w:val="ru"/>
        </w:rPr>
        <w:t xml:space="preserve"> 21 день) или капецитабина в качестве монотерапии (2500 мг/м</w:t>
      </w:r>
      <w:r w:rsidRPr="002E17FD">
        <w:rPr>
          <w:rFonts w:ascii="Times New Roman" w:hAnsi="Times New Roman"/>
          <w:sz w:val="24"/>
          <w:szCs w:val="24"/>
          <w:vertAlign w:val="superscript"/>
          <w:lang w:val="ru"/>
        </w:rPr>
        <w:t>2</w:t>
      </w:r>
      <w:r w:rsidRPr="002E17FD">
        <w:rPr>
          <w:rFonts w:ascii="Times New Roman" w:hAnsi="Times New Roman"/>
          <w:sz w:val="24"/>
          <w:szCs w:val="24"/>
          <w:lang w:val="ru"/>
        </w:rPr>
        <w:t>/сутки в 1–14 дни кажды</w:t>
      </w:r>
      <w:r w:rsidR="00506C46" w:rsidRPr="002E17FD">
        <w:rPr>
          <w:rFonts w:ascii="Times New Roman" w:hAnsi="Times New Roman"/>
          <w:sz w:val="24"/>
          <w:szCs w:val="24"/>
          <w:lang w:val="ru"/>
        </w:rPr>
        <w:t>й</w:t>
      </w:r>
      <w:r w:rsidRPr="002E17FD">
        <w:rPr>
          <w:rFonts w:ascii="Times New Roman" w:hAnsi="Times New Roman"/>
          <w:sz w:val="24"/>
          <w:szCs w:val="24"/>
          <w:lang w:val="ru"/>
        </w:rPr>
        <w:t xml:space="preserve"> 21 день). Первичной конечной точкой было время до прогрессирования (ВДП). Оценки проводились исследователями и независимой группой экспертов в слепом исследовании. Исследование было остановлено по результатам предварительно указанного промежуточного анализа, которое показало улучшение ВДП для пациентов, получающих </w:t>
      </w:r>
      <w:r w:rsidR="009B5F6F" w:rsidRPr="002E17FD">
        <w:rPr>
          <w:rFonts w:ascii="Times New Roman" w:hAnsi="Times New Roman"/>
          <w:sz w:val="24"/>
          <w:szCs w:val="24"/>
          <w:lang w:val="ru"/>
        </w:rPr>
        <w:t>л</w:t>
      </w:r>
      <w:r w:rsidR="00C86460" w:rsidRPr="002E17FD">
        <w:rPr>
          <w:rFonts w:ascii="Times New Roman" w:hAnsi="Times New Roman"/>
          <w:sz w:val="24"/>
          <w:szCs w:val="24"/>
          <w:lang w:val="ru"/>
        </w:rPr>
        <w:t>апатиниб</w:t>
      </w:r>
      <w:r w:rsidRPr="002E17FD">
        <w:rPr>
          <w:rFonts w:ascii="Times New Roman" w:hAnsi="Times New Roman"/>
          <w:sz w:val="24"/>
          <w:szCs w:val="24"/>
          <w:lang w:val="ru"/>
        </w:rPr>
        <w:t xml:space="preserve"> в сочетании с капецитабином. Еще 75 пациентов были включены в исследование между временем промежуточного анализа и концом исследования. Анализ экспертов по данным в конце исследования представлен в таблице 1. </w:t>
      </w:r>
    </w:p>
    <w:p w14:paraId="669B70E8" w14:textId="77777777" w:rsidR="00127040" w:rsidRPr="002E17FD" w:rsidRDefault="00127040" w:rsidP="00667D74">
      <w:pPr>
        <w:spacing w:after="0" w:line="20" w:lineRule="atLeast"/>
        <w:ind w:left="-5" w:right="99"/>
        <w:rPr>
          <w:rFonts w:ascii="Times New Roman" w:hAnsi="Times New Roman"/>
          <w:b/>
          <w:sz w:val="24"/>
          <w:szCs w:val="24"/>
          <w:lang w:val="ru"/>
        </w:rPr>
      </w:pPr>
      <w:r w:rsidRPr="002E17FD">
        <w:rPr>
          <w:rFonts w:ascii="Times New Roman" w:hAnsi="Times New Roman"/>
          <w:b/>
          <w:bCs/>
          <w:sz w:val="24"/>
          <w:szCs w:val="24"/>
          <w:lang w:val="ru"/>
        </w:rPr>
        <w:t>Таблица 1. Данные в отношении времени до прогрессирования, полученные из исследования EGF100151 (</w:t>
      </w:r>
      <w:r w:rsidR="009B5F6F" w:rsidRPr="002E17FD">
        <w:rPr>
          <w:rFonts w:ascii="Times New Roman" w:hAnsi="Times New Roman"/>
          <w:b/>
          <w:bCs/>
          <w:sz w:val="24"/>
          <w:szCs w:val="24"/>
          <w:lang w:val="ru"/>
        </w:rPr>
        <w:t>л</w:t>
      </w:r>
      <w:r w:rsidRPr="002E17FD">
        <w:rPr>
          <w:rFonts w:ascii="Times New Roman" w:hAnsi="Times New Roman"/>
          <w:b/>
          <w:bCs/>
          <w:sz w:val="24"/>
          <w:szCs w:val="24"/>
          <w:lang w:val="ru"/>
        </w:rPr>
        <w:t>апатиниб/капецитабин)</w:t>
      </w:r>
    </w:p>
    <w:tbl>
      <w:tblPr>
        <w:tblW w:w="9074" w:type="dxa"/>
        <w:tblInd w:w="108" w:type="dxa"/>
        <w:tblCellMar>
          <w:top w:w="10" w:type="dxa"/>
          <w:right w:w="115" w:type="dxa"/>
        </w:tblCellMar>
        <w:tblLook w:val="04A0" w:firstRow="1" w:lastRow="0" w:firstColumn="1" w:lastColumn="0" w:noHBand="0" w:noVBand="1"/>
      </w:tblPr>
      <w:tblGrid>
        <w:gridCol w:w="2298"/>
        <w:gridCol w:w="3389"/>
        <w:gridCol w:w="3387"/>
      </w:tblGrid>
      <w:tr w:rsidR="00127040" w:rsidRPr="002E17FD" w14:paraId="7723467B" w14:textId="77777777" w:rsidTr="00873FF7">
        <w:trPr>
          <w:trHeight w:val="340"/>
        </w:trPr>
        <w:tc>
          <w:tcPr>
            <w:tcW w:w="2298" w:type="dxa"/>
            <w:vMerge w:val="restart"/>
            <w:tcBorders>
              <w:top w:val="single" w:sz="4" w:space="0" w:color="000000"/>
              <w:left w:val="single" w:sz="4" w:space="0" w:color="000000"/>
              <w:bottom w:val="single" w:sz="8" w:space="0" w:color="000000"/>
              <w:right w:val="single" w:sz="8" w:space="0" w:color="000000"/>
            </w:tcBorders>
            <w:shd w:val="clear" w:color="auto" w:fill="auto"/>
          </w:tcPr>
          <w:p w14:paraId="74475E74"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 </w:t>
            </w:r>
          </w:p>
        </w:tc>
        <w:tc>
          <w:tcPr>
            <w:tcW w:w="3389" w:type="dxa"/>
            <w:tcBorders>
              <w:top w:val="single" w:sz="8" w:space="0" w:color="000000"/>
              <w:left w:val="single" w:sz="8" w:space="0" w:color="000000"/>
              <w:bottom w:val="single" w:sz="6" w:space="0" w:color="000000"/>
              <w:right w:val="nil"/>
            </w:tcBorders>
            <w:shd w:val="clear" w:color="auto" w:fill="auto"/>
          </w:tcPr>
          <w:p w14:paraId="70FF70BD"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Оценка эксперта </w:t>
            </w:r>
          </w:p>
        </w:tc>
        <w:tc>
          <w:tcPr>
            <w:tcW w:w="3387" w:type="dxa"/>
            <w:tcBorders>
              <w:top w:val="single" w:sz="8" w:space="0" w:color="000000"/>
              <w:left w:val="nil"/>
              <w:bottom w:val="single" w:sz="6" w:space="0" w:color="000000"/>
              <w:right w:val="single" w:sz="8" w:space="0" w:color="000000"/>
            </w:tcBorders>
            <w:shd w:val="clear" w:color="auto" w:fill="auto"/>
          </w:tcPr>
          <w:p w14:paraId="1294F262" w14:textId="77777777" w:rsidR="00127040" w:rsidRPr="002E17FD" w:rsidRDefault="00127040" w:rsidP="00873FF7">
            <w:pPr>
              <w:spacing w:after="0" w:line="20" w:lineRule="atLeast"/>
              <w:jc w:val="both"/>
              <w:rPr>
                <w:rFonts w:ascii="Times New Roman" w:eastAsia="Times New Roman" w:hAnsi="Times New Roman"/>
                <w:sz w:val="24"/>
                <w:szCs w:val="24"/>
              </w:rPr>
            </w:pPr>
          </w:p>
        </w:tc>
      </w:tr>
      <w:tr w:rsidR="00127040" w:rsidRPr="002E17FD" w14:paraId="39EC137C" w14:textId="77777777" w:rsidTr="00873FF7">
        <w:trPr>
          <w:trHeight w:val="780"/>
        </w:trPr>
        <w:tc>
          <w:tcPr>
            <w:tcW w:w="2298" w:type="dxa"/>
            <w:vMerge/>
            <w:tcBorders>
              <w:top w:val="nil"/>
              <w:left w:val="single" w:sz="4" w:space="0" w:color="000000"/>
              <w:bottom w:val="nil"/>
              <w:right w:val="single" w:sz="8" w:space="0" w:color="000000"/>
            </w:tcBorders>
            <w:shd w:val="clear" w:color="auto" w:fill="auto"/>
          </w:tcPr>
          <w:p w14:paraId="1F53D552" w14:textId="77777777" w:rsidR="00127040" w:rsidRPr="002E17FD" w:rsidRDefault="00127040" w:rsidP="00873FF7">
            <w:pPr>
              <w:spacing w:after="0" w:line="20" w:lineRule="atLeast"/>
              <w:jc w:val="both"/>
              <w:rPr>
                <w:rFonts w:ascii="Times New Roman" w:eastAsia="Times New Roman" w:hAnsi="Times New Roman"/>
                <w:sz w:val="24"/>
                <w:szCs w:val="24"/>
              </w:rPr>
            </w:pPr>
          </w:p>
        </w:tc>
        <w:tc>
          <w:tcPr>
            <w:tcW w:w="3389" w:type="dxa"/>
            <w:tcBorders>
              <w:top w:val="single" w:sz="6" w:space="0" w:color="000000"/>
              <w:left w:val="single" w:sz="8" w:space="0" w:color="000000"/>
              <w:bottom w:val="single" w:sz="6" w:space="0" w:color="000000"/>
              <w:right w:val="single" w:sz="6" w:space="0" w:color="000000"/>
            </w:tcBorders>
            <w:shd w:val="clear" w:color="auto" w:fill="auto"/>
          </w:tcPr>
          <w:p w14:paraId="6E2B6F59" w14:textId="7AE4FCF3" w:rsidR="00127040" w:rsidRPr="002E17FD" w:rsidRDefault="00C8646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Лапатиниб</w:t>
            </w:r>
            <w:r w:rsidR="00127040" w:rsidRPr="002E17FD">
              <w:rPr>
                <w:rFonts w:ascii="Times New Roman" w:eastAsia="Times New Roman" w:hAnsi="Times New Roman"/>
                <w:b/>
                <w:bCs/>
                <w:sz w:val="24"/>
                <w:szCs w:val="24"/>
                <w:lang w:val="ru"/>
              </w:rPr>
              <w:t xml:space="preserve"> (1250 мг/сутки) + капецитабин (2000 мг/м</w:t>
            </w:r>
            <w:r w:rsidR="00127040" w:rsidRPr="002E17FD">
              <w:rPr>
                <w:rFonts w:ascii="Times New Roman" w:eastAsia="Times New Roman" w:hAnsi="Times New Roman"/>
                <w:b/>
                <w:bCs/>
                <w:sz w:val="24"/>
                <w:szCs w:val="24"/>
                <w:vertAlign w:val="superscript"/>
                <w:lang w:val="ru"/>
              </w:rPr>
              <w:t>2</w:t>
            </w:r>
            <w:r w:rsidR="00127040" w:rsidRPr="002E17FD">
              <w:rPr>
                <w:rFonts w:ascii="Times New Roman" w:eastAsia="Times New Roman" w:hAnsi="Times New Roman"/>
                <w:b/>
                <w:bCs/>
                <w:sz w:val="24"/>
                <w:szCs w:val="24"/>
                <w:lang w:val="ru"/>
              </w:rPr>
              <w:t>/сутки, 1–14 дни кажды</w:t>
            </w:r>
            <w:r w:rsidR="00506C46" w:rsidRPr="002E17FD">
              <w:rPr>
                <w:rFonts w:ascii="Times New Roman" w:eastAsia="Times New Roman" w:hAnsi="Times New Roman"/>
                <w:b/>
                <w:bCs/>
                <w:sz w:val="24"/>
                <w:szCs w:val="24"/>
                <w:lang w:val="ru"/>
              </w:rPr>
              <w:t>й</w:t>
            </w:r>
            <w:r w:rsidR="00127040" w:rsidRPr="002E17FD">
              <w:rPr>
                <w:rFonts w:ascii="Times New Roman" w:eastAsia="Times New Roman" w:hAnsi="Times New Roman"/>
                <w:b/>
                <w:bCs/>
                <w:sz w:val="24"/>
                <w:szCs w:val="24"/>
                <w:lang w:val="ru"/>
              </w:rPr>
              <w:t xml:space="preserve"> 21 день) </w:t>
            </w:r>
          </w:p>
        </w:tc>
        <w:tc>
          <w:tcPr>
            <w:tcW w:w="3387" w:type="dxa"/>
            <w:tcBorders>
              <w:top w:val="single" w:sz="6" w:space="0" w:color="000000"/>
              <w:left w:val="single" w:sz="6" w:space="0" w:color="000000"/>
              <w:bottom w:val="single" w:sz="6" w:space="0" w:color="000000"/>
              <w:right w:val="single" w:sz="8" w:space="0" w:color="000000"/>
            </w:tcBorders>
            <w:shd w:val="clear" w:color="auto" w:fill="auto"/>
          </w:tcPr>
          <w:p w14:paraId="135B8AE4" w14:textId="62317804"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Капецитабин (2500 мг/м</w:t>
            </w:r>
            <w:r w:rsidRPr="002E17FD">
              <w:rPr>
                <w:rFonts w:ascii="Times New Roman" w:eastAsia="Times New Roman" w:hAnsi="Times New Roman"/>
                <w:b/>
                <w:bCs/>
                <w:sz w:val="24"/>
                <w:szCs w:val="24"/>
                <w:vertAlign w:val="superscript"/>
                <w:lang w:val="ru"/>
              </w:rPr>
              <w:t>2</w:t>
            </w:r>
            <w:r w:rsidRPr="002E17FD">
              <w:rPr>
                <w:rFonts w:ascii="Times New Roman" w:eastAsia="Times New Roman" w:hAnsi="Times New Roman"/>
                <w:b/>
                <w:bCs/>
                <w:sz w:val="24"/>
                <w:szCs w:val="24"/>
                <w:lang w:val="ru"/>
              </w:rPr>
              <w:t>/сутки, 1–14 дни кажды</w:t>
            </w:r>
            <w:r w:rsidR="00506C46" w:rsidRPr="002E17FD">
              <w:rPr>
                <w:rFonts w:ascii="Times New Roman" w:eastAsia="Times New Roman" w:hAnsi="Times New Roman"/>
                <w:b/>
                <w:bCs/>
                <w:sz w:val="24"/>
                <w:szCs w:val="24"/>
                <w:lang w:val="ru"/>
              </w:rPr>
              <w:t>й</w:t>
            </w:r>
            <w:r w:rsidRPr="002E17FD">
              <w:rPr>
                <w:rFonts w:ascii="Times New Roman" w:eastAsia="Times New Roman" w:hAnsi="Times New Roman"/>
                <w:b/>
                <w:bCs/>
                <w:sz w:val="24"/>
                <w:szCs w:val="24"/>
                <w:lang w:val="ru"/>
              </w:rPr>
              <w:t xml:space="preserve"> 21 день) </w:t>
            </w:r>
          </w:p>
        </w:tc>
      </w:tr>
      <w:tr w:rsidR="00127040" w:rsidRPr="002E17FD" w14:paraId="7FB74ED6" w14:textId="77777777" w:rsidTr="00873FF7">
        <w:trPr>
          <w:trHeight w:val="275"/>
        </w:trPr>
        <w:tc>
          <w:tcPr>
            <w:tcW w:w="2298" w:type="dxa"/>
            <w:vMerge/>
            <w:tcBorders>
              <w:top w:val="nil"/>
              <w:left w:val="single" w:sz="4" w:space="0" w:color="000000"/>
              <w:bottom w:val="single" w:sz="8" w:space="0" w:color="000000"/>
              <w:right w:val="single" w:sz="8" w:space="0" w:color="000000"/>
            </w:tcBorders>
            <w:shd w:val="clear" w:color="auto" w:fill="auto"/>
          </w:tcPr>
          <w:p w14:paraId="30B460E7" w14:textId="77777777" w:rsidR="00127040" w:rsidRPr="002E17FD" w:rsidRDefault="00127040" w:rsidP="00873FF7">
            <w:pPr>
              <w:spacing w:after="0" w:line="20" w:lineRule="atLeast"/>
              <w:jc w:val="both"/>
              <w:rPr>
                <w:rFonts w:ascii="Times New Roman" w:eastAsia="Times New Roman" w:hAnsi="Times New Roman"/>
                <w:sz w:val="24"/>
                <w:szCs w:val="24"/>
              </w:rPr>
            </w:pPr>
          </w:p>
        </w:tc>
        <w:tc>
          <w:tcPr>
            <w:tcW w:w="3389" w:type="dxa"/>
            <w:tcBorders>
              <w:top w:val="single" w:sz="6" w:space="0" w:color="000000"/>
              <w:left w:val="single" w:sz="8" w:space="0" w:color="000000"/>
              <w:bottom w:val="single" w:sz="6" w:space="0" w:color="000000"/>
              <w:right w:val="single" w:sz="6" w:space="0" w:color="000000"/>
            </w:tcBorders>
            <w:shd w:val="clear" w:color="auto" w:fill="auto"/>
          </w:tcPr>
          <w:p w14:paraId="12F64421"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(N = 198)</w:t>
            </w:r>
            <w:r w:rsidRPr="002E17FD">
              <w:rPr>
                <w:rFonts w:ascii="Times New Roman" w:eastAsia="Times New Roman" w:hAnsi="Times New Roman"/>
                <w:sz w:val="24"/>
                <w:szCs w:val="24"/>
                <w:lang w:val="ru"/>
              </w:rPr>
              <w:t xml:space="preserve"> </w:t>
            </w:r>
          </w:p>
        </w:tc>
        <w:tc>
          <w:tcPr>
            <w:tcW w:w="3387" w:type="dxa"/>
            <w:tcBorders>
              <w:top w:val="single" w:sz="6" w:space="0" w:color="000000"/>
              <w:left w:val="single" w:sz="6" w:space="0" w:color="000000"/>
              <w:bottom w:val="single" w:sz="6" w:space="0" w:color="000000"/>
              <w:right w:val="single" w:sz="8" w:space="0" w:color="000000"/>
            </w:tcBorders>
            <w:shd w:val="clear" w:color="auto" w:fill="auto"/>
          </w:tcPr>
          <w:p w14:paraId="0CA06109"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(N = 201)</w:t>
            </w:r>
            <w:r w:rsidRPr="002E17FD">
              <w:rPr>
                <w:rFonts w:ascii="Times New Roman" w:eastAsia="Times New Roman" w:hAnsi="Times New Roman"/>
                <w:sz w:val="24"/>
                <w:szCs w:val="24"/>
                <w:lang w:val="ru"/>
              </w:rPr>
              <w:t xml:space="preserve"> </w:t>
            </w:r>
          </w:p>
        </w:tc>
      </w:tr>
      <w:tr w:rsidR="00127040" w:rsidRPr="002E17FD" w14:paraId="424965A8" w14:textId="77777777" w:rsidTr="00873FF7">
        <w:trPr>
          <w:trHeight w:val="272"/>
        </w:trPr>
        <w:tc>
          <w:tcPr>
            <w:tcW w:w="2298" w:type="dxa"/>
            <w:tcBorders>
              <w:top w:val="single" w:sz="8" w:space="0" w:color="000000"/>
              <w:left w:val="single" w:sz="8" w:space="0" w:color="000000"/>
              <w:bottom w:val="single" w:sz="6" w:space="0" w:color="000000"/>
              <w:right w:val="single" w:sz="8" w:space="0" w:color="000000"/>
            </w:tcBorders>
            <w:shd w:val="clear" w:color="auto" w:fill="auto"/>
          </w:tcPr>
          <w:p w14:paraId="36586D44"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Количество ВДП </w:t>
            </w:r>
          </w:p>
        </w:tc>
        <w:tc>
          <w:tcPr>
            <w:tcW w:w="3389" w:type="dxa"/>
            <w:tcBorders>
              <w:top w:val="single" w:sz="6" w:space="0" w:color="000000"/>
              <w:left w:val="single" w:sz="8" w:space="0" w:color="000000"/>
              <w:bottom w:val="single" w:sz="6" w:space="0" w:color="000000"/>
              <w:right w:val="single" w:sz="6" w:space="0" w:color="000000"/>
            </w:tcBorders>
            <w:shd w:val="clear" w:color="auto" w:fill="auto"/>
          </w:tcPr>
          <w:p w14:paraId="7964978D"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121 </w:t>
            </w:r>
          </w:p>
        </w:tc>
        <w:tc>
          <w:tcPr>
            <w:tcW w:w="3387" w:type="dxa"/>
            <w:tcBorders>
              <w:top w:val="single" w:sz="6" w:space="0" w:color="000000"/>
              <w:left w:val="single" w:sz="6" w:space="0" w:color="000000"/>
              <w:bottom w:val="single" w:sz="6" w:space="0" w:color="000000"/>
              <w:right w:val="single" w:sz="8" w:space="0" w:color="000000"/>
            </w:tcBorders>
            <w:shd w:val="clear" w:color="auto" w:fill="auto"/>
          </w:tcPr>
          <w:p w14:paraId="2316F1DD"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126 </w:t>
            </w:r>
          </w:p>
        </w:tc>
      </w:tr>
      <w:tr w:rsidR="00127040" w:rsidRPr="002E17FD" w14:paraId="270886D9" w14:textId="77777777" w:rsidTr="00873FF7">
        <w:trPr>
          <w:trHeight w:val="266"/>
        </w:trPr>
        <w:tc>
          <w:tcPr>
            <w:tcW w:w="2298" w:type="dxa"/>
            <w:tcBorders>
              <w:top w:val="single" w:sz="6" w:space="0" w:color="000000"/>
              <w:left w:val="single" w:sz="8" w:space="0" w:color="000000"/>
              <w:bottom w:val="single" w:sz="6" w:space="0" w:color="000000"/>
              <w:right w:val="single" w:sz="8" w:space="0" w:color="000000"/>
            </w:tcBorders>
            <w:shd w:val="clear" w:color="auto" w:fill="auto"/>
          </w:tcPr>
          <w:p w14:paraId="14CDA49E"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Среднее количество недель ВДП </w:t>
            </w:r>
          </w:p>
        </w:tc>
        <w:tc>
          <w:tcPr>
            <w:tcW w:w="3389" w:type="dxa"/>
            <w:tcBorders>
              <w:top w:val="single" w:sz="6" w:space="0" w:color="000000"/>
              <w:left w:val="single" w:sz="8" w:space="0" w:color="000000"/>
              <w:bottom w:val="single" w:sz="6" w:space="0" w:color="000000"/>
              <w:right w:val="single" w:sz="6" w:space="0" w:color="000000"/>
            </w:tcBorders>
            <w:shd w:val="clear" w:color="auto" w:fill="auto"/>
          </w:tcPr>
          <w:p w14:paraId="3030F8EC"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23,9 </w:t>
            </w:r>
          </w:p>
        </w:tc>
        <w:tc>
          <w:tcPr>
            <w:tcW w:w="3387" w:type="dxa"/>
            <w:tcBorders>
              <w:top w:val="single" w:sz="6" w:space="0" w:color="000000"/>
              <w:left w:val="single" w:sz="6" w:space="0" w:color="000000"/>
              <w:bottom w:val="single" w:sz="6" w:space="0" w:color="000000"/>
              <w:right w:val="single" w:sz="8" w:space="0" w:color="000000"/>
            </w:tcBorders>
            <w:shd w:val="clear" w:color="auto" w:fill="auto"/>
          </w:tcPr>
          <w:p w14:paraId="61CA4010"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18,3 </w:t>
            </w:r>
          </w:p>
        </w:tc>
      </w:tr>
      <w:tr w:rsidR="00127040" w:rsidRPr="002E17FD" w14:paraId="56517A76" w14:textId="77777777" w:rsidTr="00873FF7">
        <w:trPr>
          <w:trHeight w:val="269"/>
        </w:trPr>
        <w:tc>
          <w:tcPr>
            <w:tcW w:w="2298" w:type="dxa"/>
            <w:tcBorders>
              <w:top w:val="single" w:sz="6" w:space="0" w:color="000000"/>
              <w:left w:val="single" w:sz="8" w:space="0" w:color="000000"/>
              <w:bottom w:val="single" w:sz="6" w:space="0" w:color="000000"/>
              <w:right w:val="single" w:sz="8" w:space="0" w:color="000000"/>
            </w:tcBorders>
            <w:shd w:val="clear" w:color="auto" w:fill="auto"/>
          </w:tcPr>
          <w:p w14:paraId="0D29EEEE" w14:textId="77777777" w:rsidR="00127040" w:rsidRPr="002E17FD" w:rsidRDefault="00127040" w:rsidP="00873FF7">
            <w:pPr>
              <w:tabs>
                <w:tab w:val="center" w:pos="858"/>
              </w:tabs>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Соотношение рисков  </w:t>
            </w:r>
          </w:p>
        </w:tc>
        <w:tc>
          <w:tcPr>
            <w:tcW w:w="3389" w:type="dxa"/>
            <w:tcBorders>
              <w:top w:val="single" w:sz="6" w:space="0" w:color="000000"/>
              <w:left w:val="single" w:sz="8" w:space="0" w:color="000000"/>
              <w:bottom w:val="single" w:sz="6" w:space="0" w:color="000000"/>
              <w:right w:val="nil"/>
            </w:tcBorders>
            <w:shd w:val="clear" w:color="auto" w:fill="auto"/>
          </w:tcPr>
          <w:p w14:paraId="1CBFC780"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0,72 </w:t>
            </w:r>
          </w:p>
        </w:tc>
        <w:tc>
          <w:tcPr>
            <w:tcW w:w="3387" w:type="dxa"/>
            <w:tcBorders>
              <w:top w:val="single" w:sz="6" w:space="0" w:color="000000"/>
              <w:left w:val="nil"/>
              <w:bottom w:val="single" w:sz="6" w:space="0" w:color="000000"/>
              <w:right w:val="single" w:sz="8" w:space="0" w:color="000000"/>
            </w:tcBorders>
            <w:shd w:val="clear" w:color="auto" w:fill="auto"/>
          </w:tcPr>
          <w:p w14:paraId="04554555" w14:textId="77777777" w:rsidR="00127040" w:rsidRPr="002E17FD" w:rsidRDefault="00127040" w:rsidP="00873FF7">
            <w:pPr>
              <w:spacing w:after="0" w:line="20" w:lineRule="atLeast"/>
              <w:jc w:val="both"/>
              <w:rPr>
                <w:rFonts w:ascii="Times New Roman" w:eastAsia="Times New Roman" w:hAnsi="Times New Roman"/>
                <w:sz w:val="24"/>
                <w:szCs w:val="24"/>
              </w:rPr>
            </w:pPr>
          </w:p>
        </w:tc>
      </w:tr>
      <w:tr w:rsidR="00127040" w:rsidRPr="002E17FD" w14:paraId="62FD210B" w14:textId="77777777" w:rsidTr="00873FF7">
        <w:trPr>
          <w:trHeight w:val="266"/>
        </w:trPr>
        <w:tc>
          <w:tcPr>
            <w:tcW w:w="2298" w:type="dxa"/>
            <w:tcBorders>
              <w:top w:val="single" w:sz="6" w:space="0" w:color="000000"/>
              <w:left w:val="single" w:sz="8" w:space="0" w:color="000000"/>
              <w:bottom w:val="single" w:sz="6" w:space="0" w:color="000000"/>
              <w:right w:val="single" w:sz="8" w:space="0" w:color="000000"/>
            </w:tcBorders>
            <w:shd w:val="clear" w:color="auto" w:fill="auto"/>
          </w:tcPr>
          <w:p w14:paraId="0ED3DDA2" w14:textId="77777777" w:rsidR="00127040" w:rsidRPr="002E17FD" w:rsidRDefault="00127040" w:rsidP="00873FF7">
            <w:pPr>
              <w:tabs>
                <w:tab w:val="center" w:pos="274"/>
                <w:tab w:val="center" w:pos="958"/>
              </w:tabs>
              <w:spacing w:after="0" w:line="20" w:lineRule="atLeast"/>
              <w:rPr>
                <w:rFonts w:ascii="Times New Roman" w:eastAsia="Times New Roman" w:hAnsi="Times New Roman"/>
                <w:sz w:val="24"/>
                <w:szCs w:val="24"/>
              </w:rPr>
            </w:pPr>
            <w:r w:rsidRPr="002E17FD">
              <w:rPr>
                <w:rFonts w:ascii="Times New Roman" w:eastAsia="Times New Roman" w:hAnsi="Times New Roman"/>
                <w:sz w:val="24"/>
                <w:szCs w:val="24"/>
                <w:lang w:val="ru"/>
              </w:rPr>
              <w:tab/>
              <w:t xml:space="preserve">(95 % CI) </w:t>
            </w:r>
          </w:p>
        </w:tc>
        <w:tc>
          <w:tcPr>
            <w:tcW w:w="3389" w:type="dxa"/>
            <w:tcBorders>
              <w:top w:val="single" w:sz="6" w:space="0" w:color="000000"/>
              <w:left w:val="single" w:sz="8" w:space="0" w:color="000000"/>
              <w:bottom w:val="single" w:sz="6" w:space="0" w:color="000000"/>
              <w:right w:val="nil"/>
            </w:tcBorders>
            <w:shd w:val="clear" w:color="auto" w:fill="auto"/>
          </w:tcPr>
          <w:p w14:paraId="70EA3E61"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(0,56, 0,92) </w:t>
            </w:r>
          </w:p>
        </w:tc>
        <w:tc>
          <w:tcPr>
            <w:tcW w:w="3387" w:type="dxa"/>
            <w:tcBorders>
              <w:top w:val="single" w:sz="6" w:space="0" w:color="000000"/>
              <w:left w:val="nil"/>
              <w:bottom w:val="single" w:sz="6" w:space="0" w:color="000000"/>
              <w:right w:val="single" w:sz="8" w:space="0" w:color="000000"/>
            </w:tcBorders>
            <w:shd w:val="clear" w:color="auto" w:fill="auto"/>
          </w:tcPr>
          <w:p w14:paraId="656807B9" w14:textId="77777777" w:rsidR="00127040" w:rsidRPr="002E17FD" w:rsidRDefault="00127040" w:rsidP="00873FF7">
            <w:pPr>
              <w:spacing w:after="0" w:line="20" w:lineRule="atLeast"/>
              <w:jc w:val="both"/>
              <w:rPr>
                <w:rFonts w:ascii="Times New Roman" w:eastAsia="Times New Roman" w:hAnsi="Times New Roman"/>
                <w:sz w:val="24"/>
                <w:szCs w:val="24"/>
              </w:rPr>
            </w:pPr>
          </w:p>
        </w:tc>
      </w:tr>
      <w:tr w:rsidR="00127040" w:rsidRPr="002E17FD" w14:paraId="38B25141" w14:textId="77777777" w:rsidTr="00873FF7">
        <w:trPr>
          <w:trHeight w:val="271"/>
        </w:trPr>
        <w:tc>
          <w:tcPr>
            <w:tcW w:w="2298" w:type="dxa"/>
            <w:tcBorders>
              <w:top w:val="single" w:sz="6" w:space="0" w:color="000000"/>
              <w:left w:val="single" w:sz="8" w:space="0" w:color="000000"/>
              <w:bottom w:val="single" w:sz="8" w:space="0" w:color="000000"/>
              <w:right w:val="single" w:sz="8" w:space="0" w:color="000000"/>
            </w:tcBorders>
            <w:shd w:val="clear" w:color="auto" w:fill="auto"/>
          </w:tcPr>
          <w:p w14:paraId="23E97EDC" w14:textId="77777777" w:rsidR="00127040" w:rsidRPr="002E17FD" w:rsidRDefault="00127040" w:rsidP="00873FF7">
            <w:pPr>
              <w:tabs>
                <w:tab w:val="center" w:pos="274"/>
                <w:tab w:val="center" w:pos="868"/>
              </w:tabs>
              <w:spacing w:after="0" w:line="20" w:lineRule="atLeast"/>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Значение p </w:t>
            </w:r>
          </w:p>
        </w:tc>
        <w:tc>
          <w:tcPr>
            <w:tcW w:w="3389" w:type="dxa"/>
            <w:tcBorders>
              <w:top w:val="single" w:sz="6" w:space="0" w:color="000000"/>
              <w:left w:val="single" w:sz="8" w:space="0" w:color="000000"/>
              <w:bottom w:val="single" w:sz="6" w:space="0" w:color="000000"/>
              <w:right w:val="nil"/>
            </w:tcBorders>
            <w:shd w:val="clear" w:color="auto" w:fill="auto"/>
          </w:tcPr>
          <w:p w14:paraId="4FB48BEC"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0,008 </w:t>
            </w:r>
          </w:p>
        </w:tc>
        <w:tc>
          <w:tcPr>
            <w:tcW w:w="3387" w:type="dxa"/>
            <w:tcBorders>
              <w:top w:val="single" w:sz="6" w:space="0" w:color="000000"/>
              <w:left w:val="nil"/>
              <w:bottom w:val="single" w:sz="6" w:space="0" w:color="000000"/>
              <w:right w:val="single" w:sz="8" w:space="0" w:color="000000"/>
            </w:tcBorders>
            <w:shd w:val="clear" w:color="auto" w:fill="auto"/>
          </w:tcPr>
          <w:p w14:paraId="5C68B9F2" w14:textId="77777777" w:rsidR="00127040" w:rsidRPr="002E17FD" w:rsidRDefault="00127040" w:rsidP="00873FF7">
            <w:pPr>
              <w:spacing w:after="0" w:line="20" w:lineRule="atLeast"/>
              <w:jc w:val="both"/>
              <w:rPr>
                <w:rFonts w:ascii="Times New Roman" w:eastAsia="Times New Roman" w:hAnsi="Times New Roman"/>
                <w:sz w:val="24"/>
                <w:szCs w:val="24"/>
              </w:rPr>
            </w:pPr>
          </w:p>
        </w:tc>
      </w:tr>
    </w:tbl>
    <w:p w14:paraId="2BE40A60" w14:textId="77777777" w:rsidR="00127040" w:rsidRPr="002E17FD" w:rsidRDefault="00127040" w:rsidP="0042603B">
      <w:pPr>
        <w:spacing w:after="0" w:line="20" w:lineRule="atLeast"/>
        <w:ind w:right="7"/>
        <w:jc w:val="both"/>
        <w:rPr>
          <w:rFonts w:ascii="Times New Roman" w:hAnsi="Times New Roman"/>
          <w:sz w:val="24"/>
          <w:szCs w:val="24"/>
        </w:rPr>
      </w:pPr>
      <w:r w:rsidRPr="002E17FD">
        <w:rPr>
          <w:rFonts w:ascii="Times New Roman" w:hAnsi="Times New Roman"/>
          <w:sz w:val="24"/>
          <w:szCs w:val="24"/>
          <w:lang w:val="ru"/>
        </w:rPr>
        <w:t xml:space="preserve">Независимая оценка данных также показала, что </w:t>
      </w:r>
      <w:r w:rsidR="0042603B" w:rsidRPr="002E17FD">
        <w:rPr>
          <w:rFonts w:ascii="Times New Roman" w:hAnsi="Times New Roman"/>
          <w:sz w:val="24"/>
          <w:szCs w:val="24"/>
          <w:lang w:val="ru"/>
        </w:rPr>
        <w:t>л</w:t>
      </w:r>
      <w:r w:rsidR="00C86460" w:rsidRPr="002E17FD">
        <w:rPr>
          <w:rFonts w:ascii="Times New Roman" w:hAnsi="Times New Roman"/>
          <w:sz w:val="24"/>
          <w:szCs w:val="24"/>
          <w:lang w:val="ru"/>
        </w:rPr>
        <w:t>апатиниб</w:t>
      </w:r>
      <w:r w:rsidRPr="002E17FD">
        <w:rPr>
          <w:rFonts w:ascii="Times New Roman" w:hAnsi="Times New Roman"/>
          <w:sz w:val="24"/>
          <w:szCs w:val="24"/>
          <w:lang w:val="ru"/>
        </w:rPr>
        <w:t xml:space="preserve"> в сочетании с капецитабином значительно увеличивает время до прогрессирования (соотношение рисков 0,57 [95% CI 0,43, 0,77] р = 0,0001) по сравнению с капецитабином в качестве монотерапии. </w:t>
      </w:r>
    </w:p>
    <w:p w14:paraId="666EBD98" w14:textId="77777777" w:rsidR="00127040" w:rsidRPr="002E17FD" w:rsidRDefault="00127040" w:rsidP="0042603B">
      <w:pPr>
        <w:spacing w:after="0" w:line="20" w:lineRule="atLeast"/>
        <w:ind w:left="-5" w:right="7"/>
        <w:jc w:val="both"/>
        <w:rPr>
          <w:rFonts w:ascii="Times New Roman" w:hAnsi="Times New Roman"/>
          <w:sz w:val="24"/>
          <w:szCs w:val="24"/>
          <w:lang w:val="ru"/>
        </w:rPr>
      </w:pPr>
      <w:r w:rsidRPr="002E17FD">
        <w:rPr>
          <w:rFonts w:ascii="Times New Roman" w:hAnsi="Times New Roman"/>
          <w:sz w:val="24"/>
          <w:szCs w:val="24"/>
          <w:lang w:val="ru"/>
        </w:rPr>
        <w:t xml:space="preserve">Результаты обновленного анализа данных общей выживаемости по состоянию на 28 сентября 2007 представлены в таблице 2. </w:t>
      </w:r>
    </w:p>
    <w:p w14:paraId="416C5D51" w14:textId="2349971D" w:rsidR="00127040" w:rsidRPr="002E17FD" w:rsidRDefault="00127040" w:rsidP="00BC70B2">
      <w:pPr>
        <w:spacing w:after="0" w:line="20" w:lineRule="atLeast"/>
        <w:ind w:left="-5" w:right="7"/>
        <w:jc w:val="both"/>
        <w:rPr>
          <w:rFonts w:ascii="Times New Roman" w:hAnsi="Times New Roman"/>
          <w:b/>
          <w:sz w:val="24"/>
          <w:szCs w:val="24"/>
          <w:lang w:val="ru"/>
        </w:rPr>
      </w:pPr>
      <w:r w:rsidRPr="002E17FD">
        <w:rPr>
          <w:rFonts w:ascii="Times New Roman" w:hAnsi="Times New Roman"/>
          <w:b/>
          <w:bCs/>
          <w:sz w:val="24"/>
          <w:szCs w:val="24"/>
          <w:lang w:val="ru"/>
        </w:rPr>
        <w:t>Таблица 2</w:t>
      </w:r>
      <w:r w:rsidR="00BC70B2" w:rsidRPr="002E17FD">
        <w:rPr>
          <w:rFonts w:ascii="Times New Roman" w:hAnsi="Times New Roman"/>
          <w:b/>
          <w:bCs/>
          <w:sz w:val="24"/>
          <w:szCs w:val="24"/>
          <w:lang w:val="ru"/>
        </w:rPr>
        <w:t xml:space="preserve">. </w:t>
      </w:r>
      <w:r w:rsidRPr="002E17FD">
        <w:rPr>
          <w:rFonts w:ascii="Times New Roman" w:hAnsi="Times New Roman"/>
          <w:b/>
          <w:bCs/>
          <w:sz w:val="24"/>
          <w:szCs w:val="24"/>
          <w:lang w:val="ru"/>
        </w:rPr>
        <w:t>Данные общей выживаемости, полученные из исследования EGF100151 (</w:t>
      </w:r>
      <w:r w:rsidR="0042603B" w:rsidRPr="002E17FD">
        <w:rPr>
          <w:rFonts w:ascii="Times New Roman" w:hAnsi="Times New Roman"/>
          <w:b/>
          <w:bCs/>
          <w:sz w:val="24"/>
          <w:szCs w:val="24"/>
          <w:lang w:val="ru"/>
        </w:rPr>
        <w:t>л</w:t>
      </w:r>
      <w:r w:rsidR="00C86460" w:rsidRPr="002E17FD">
        <w:rPr>
          <w:rFonts w:ascii="Times New Roman" w:hAnsi="Times New Roman"/>
          <w:b/>
          <w:bCs/>
          <w:sz w:val="24"/>
          <w:szCs w:val="24"/>
          <w:lang w:val="ru"/>
        </w:rPr>
        <w:t>апатиниб</w:t>
      </w:r>
      <w:r w:rsidRPr="002E17FD">
        <w:rPr>
          <w:rFonts w:ascii="Times New Roman" w:hAnsi="Times New Roman"/>
          <w:b/>
          <w:bCs/>
          <w:sz w:val="24"/>
          <w:szCs w:val="24"/>
          <w:lang w:val="ru"/>
        </w:rPr>
        <w:t>/капецитабин)</w:t>
      </w:r>
    </w:p>
    <w:tbl>
      <w:tblPr>
        <w:tblW w:w="9074" w:type="dxa"/>
        <w:tblInd w:w="108" w:type="dxa"/>
        <w:tblCellMar>
          <w:top w:w="10" w:type="dxa"/>
          <w:right w:w="115" w:type="dxa"/>
        </w:tblCellMar>
        <w:tblLook w:val="04A0" w:firstRow="1" w:lastRow="0" w:firstColumn="1" w:lastColumn="0" w:noHBand="0" w:noVBand="1"/>
      </w:tblPr>
      <w:tblGrid>
        <w:gridCol w:w="2298"/>
        <w:gridCol w:w="3389"/>
        <w:gridCol w:w="3387"/>
      </w:tblGrid>
      <w:tr w:rsidR="00127040" w:rsidRPr="002E17FD" w14:paraId="7466C384" w14:textId="77777777" w:rsidTr="00873FF7">
        <w:trPr>
          <w:trHeight w:val="773"/>
        </w:trPr>
        <w:tc>
          <w:tcPr>
            <w:tcW w:w="2298" w:type="dxa"/>
            <w:vMerge w:val="restart"/>
            <w:tcBorders>
              <w:top w:val="single" w:sz="4" w:space="0" w:color="000000"/>
              <w:left w:val="single" w:sz="4" w:space="0" w:color="000000"/>
              <w:bottom w:val="single" w:sz="8" w:space="0" w:color="000000"/>
              <w:right w:val="single" w:sz="8" w:space="0" w:color="000000"/>
            </w:tcBorders>
            <w:shd w:val="clear" w:color="auto" w:fill="auto"/>
          </w:tcPr>
          <w:p w14:paraId="7544B1E2"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 </w:t>
            </w:r>
          </w:p>
        </w:tc>
        <w:tc>
          <w:tcPr>
            <w:tcW w:w="3389" w:type="dxa"/>
            <w:tcBorders>
              <w:top w:val="single" w:sz="6" w:space="0" w:color="000000"/>
              <w:left w:val="single" w:sz="8" w:space="0" w:color="000000"/>
              <w:bottom w:val="single" w:sz="6" w:space="0" w:color="000000"/>
              <w:right w:val="single" w:sz="6" w:space="0" w:color="000000"/>
            </w:tcBorders>
            <w:shd w:val="clear" w:color="auto" w:fill="auto"/>
          </w:tcPr>
          <w:p w14:paraId="6769138D" w14:textId="77777777" w:rsidR="00127040" w:rsidRPr="002E17FD" w:rsidRDefault="00C8646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Лапатиниб</w:t>
            </w:r>
            <w:r w:rsidR="00127040" w:rsidRPr="002E17FD">
              <w:rPr>
                <w:rFonts w:ascii="Times New Roman" w:eastAsia="Times New Roman" w:hAnsi="Times New Roman"/>
                <w:b/>
                <w:bCs/>
                <w:sz w:val="24"/>
                <w:szCs w:val="24"/>
                <w:lang w:val="ru"/>
              </w:rPr>
              <w:t xml:space="preserve"> (1250 мг/сутки) + капецитабин (2000 мг/м</w:t>
            </w:r>
            <w:r w:rsidR="00127040" w:rsidRPr="002E17FD">
              <w:rPr>
                <w:rFonts w:ascii="Times New Roman" w:eastAsia="Times New Roman" w:hAnsi="Times New Roman"/>
                <w:b/>
                <w:bCs/>
                <w:sz w:val="24"/>
                <w:szCs w:val="24"/>
                <w:vertAlign w:val="superscript"/>
                <w:lang w:val="ru"/>
              </w:rPr>
              <w:t>2</w:t>
            </w:r>
            <w:r w:rsidR="00127040" w:rsidRPr="002E17FD">
              <w:rPr>
                <w:rFonts w:ascii="Times New Roman" w:eastAsia="Times New Roman" w:hAnsi="Times New Roman"/>
                <w:b/>
                <w:bCs/>
                <w:sz w:val="24"/>
                <w:szCs w:val="24"/>
                <w:lang w:val="ru"/>
              </w:rPr>
              <w:t xml:space="preserve">/сутки, 1–14 дни каждые 21 день) </w:t>
            </w:r>
          </w:p>
        </w:tc>
        <w:tc>
          <w:tcPr>
            <w:tcW w:w="3387" w:type="dxa"/>
            <w:tcBorders>
              <w:top w:val="single" w:sz="6" w:space="0" w:color="000000"/>
              <w:left w:val="single" w:sz="6" w:space="0" w:color="000000"/>
              <w:bottom w:val="single" w:sz="6" w:space="0" w:color="000000"/>
              <w:right w:val="single" w:sz="8" w:space="0" w:color="000000"/>
            </w:tcBorders>
            <w:shd w:val="clear" w:color="auto" w:fill="auto"/>
          </w:tcPr>
          <w:p w14:paraId="451FEA27"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Капецитабин (2500 мг/м</w:t>
            </w:r>
            <w:r w:rsidRPr="002E17FD">
              <w:rPr>
                <w:rFonts w:ascii="Times New Roman" w:eastAsia="Times New Roman" w:hAnsi="Times New Roman"/>
                <w:b/>
                <w:bCs/>
                <w:sz w:val="24"/>
                <w:szCs w:val="24"/>
                <w:vertAlign w:val="superscript"/>
                <w:lang w:val="ru"/>
              </w:rPr>
              <w:t>2</w:t>
            </w:r>
            <w:r w:rsidRPr="002E17FD">
              <w:rPr>
                <w:rFonts w:ascii="Times New Roman" w:eastAsia="Times New Roman" w:hAnsi="Times New Roman"/>
                <w:b/>
                <w:bCs/>
                <w:sz w:val="24"/>
                <w:szCs w:val="24"/>
                <w:lang w:val="ru"/>
              </w:rPr>
              <w:t xml:space="preserve">/сутки, 1–14 дни каждые 21 день) </w:t>
            </w:r>
          </w:p>
        </w:tc>
      </w:tr>
      <w:tr w:rsidR="00127040" w:rsidRPr="002E17FD" w14:paraId="762EA19A" w14:textId="77777777" w:rsidTr="00873FF7">
        <w:trPr>
          <w:trHeight w:val="275"/>
        </w:trPr>
        <w:tc>
          <w:tcPr>
            <w:tcW w:w="2298" w:type="dxa"/>
            <w:vMerge/>
            <w:tcBorders>
              <w:top w:val="nil"/>
              <w:left w:val="single" w:sz="4" w:space="0" w:color="000000"/>
              <w:bottom w:val="single" w:sz="8" w:space="0" w:color="000000"/>
              <w:right w:val="single" w:sz="8" w:space="0" w:color="000000"/>
            </w:tcBorders>
            <w:shd w:val="clear" w:color="auto" w:fill="auto"/>
          </w:tcPr>
          <w:p w14:paraId="256787A1" w14:textId="77777777" w:rsidR="00127040" w:rsidRPr="002E17FD" w:rsidRDefault="00127040" w:rsidP="00873FF7">
            <w:pPr>
              <w:spacing w:after="0" w:line="20" w:lineRule="atLeast"/>
              <w:jc w:val="both"/>
              <w:rPr>
                <w:rFonts w:ascii="Times New Roman" w:eastAsia="Times New Roman" w:hAnsi="Times New Roman"/>
                <w:sz w:val="24"/>
                <w:szCs w:val="24"/>
              </w:rPr>
            </w:pPr>
          </w:p>
        </w:tc>
        <w:tc>
          <w:tcPr>
            <w:tcW w:w="3389" w:type="dxa"/>
            <w:tcBorders>
              <w:top w:val="single" w:sz="6" w:space="0" w:color="000000"/>
              <w:left w:val="single" w:sz="8" w:space="0" w:color="000000"/>
              <w:bottom w:val="single" w:sz="6" w:space="0" w:color="000000"/>
              <w:right w:val="single" w:sz="6" w:space="0" w:color="000000"/>
            </w:tcBorders>
            <w:shd w:val="clear" w:color="auto" w:fill="auto"/>
          </w:tcPr>
          <w:p w14:paraId="0FCAFBE4"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(N = 207)</w:t>
            </w:r>
            <w:r w:rsidRPr="002E17FD">
              <w:rPr>
                <w:rFonts w:ascii="Times New Roman" w:eastAsia="Times New Roman" w:hAnsi="Times New Roman"/>
                <w:sz w:val="24"/>
                <w:szCs w:val="24"/>
                <w:lang w:val="ru"/>
              </w:rPr>
              <w:t xml:space="preserve"> </w:t>
            </w:r>
          </w:p>
        </w:tc>
        <w:tc>
          <w:tcPr>
            <w:tcW w:w="3387" w:type="dxa"/>
            <w:tcBorders>
              <w:top w:val="single" w:sz="6" w:space="0" w:color="000000"/>
              <w:left w:val="single" w:sz="6" w:space="0" w:color="000000"/>
              <w:bottom w:val="single" w:sz="6" w:space="0" w:color="000000"/>
              <w:right w:val="single" w:sz="8" w:space="0" w:color="000000"/>
            </w:tcBorders>
            <w:shd w:val="clear" w:color="auto" w:fill="auto"/>
          </w:tcPr>
          <w:p w14:paraId="792E097B"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(N = 201)</w:t>
            </w:r>
            <w:r w:rsidRPr="002E17FD">
              <w:rPr>
                <w:rFonts w:ascii="Times New Roman" w:eastAsia="Times New Roman" w:hAnsi="Times New Roman"/>
                <w:sz w:val="24"/>
                <w:szCs w:val="24"/>
                <w:lang w:val="ru"/>
              </w:rPr>
              <w:t xml:space="preserve"> </w:t>
            </w:r>
          </w:p>
        </w:tc>
      </w:tr>
      <w:tr w:rsidR="00127040" w:rsidRPr="002E17FD" w14:paraId="3CFDD3F4" w14:textId="77777777" w:rsidTr="00873FF7">
        <w:trPr>
          <w:trHeight w:val="524"/>
        </w:trPr>
        <w:tc>
          <w:tcPr>
            <w:tcW w:w="2298" w:type="dxa"/>
            <w:tcBorders>
              <w:top w:val="single" w:sz="8" w:space="0" w:color="000000"/>
              <w:left w:val="single" w:sz="8" w:space="0" w:color="000000"/>
              <w:bottom w:val="single" w:sz="6" w:space="0" w:color="000000"/>
              <w:right w:val="single" w:sz="8" w:space="0" w:color="000000"/>
            </w:tcBorders>
            <w:shd w:val="clear" w:color="auto" w:fill="auto"/>
          </w:tcPr>
          <w:p w14:paraId="75FA7CC4"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Количество пациентов, которые умерли </w:t>
            </w:r>
          </w:p>
        </w:tc>
        <w:tc>
          <w:tcPr>
            <w:tcW w:w="3389" w:type="dxa"/>
            <w:tcBorders>
              <w:top w:val="single" w:sz="6" w:space="0" w:color="000000"/>
              <w:left w:val="single" w:sz="8" w:space="0" w:color="000000"/>
              <w:bottom w:val="single" w:sz="6" w:space="0" w:color="000000"/>
              <w:right w:val="single" w:sz="6" w:space="0" w:color="000000"/>
            </w:tcBorders>
            <w:shd w:val="clear" w:color="auto" w:fill="auto"/>
          </w:tcPr>
          <w:p w14:paraId="259153BB"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148 </w:t>
            </w:r>
          </w:p>
        </w:tc>
        <w:tc>
          <w:tcPr>
            <w:tcW w:w="3387" w:type="dxa"/>
            <w:tcBorders>
              <w:top w:val="single" w:sz="6" w:space="0" w:color="000000"/>
              <w:left w:val="single" w:sz="6" w:space="0" w:color="000000"/>
              <w:bottom w:val="single" w:sz="6" w:space="0" w:color="000000"/>
              <w:right w:val="single" w:sz="8" w:space="0" w:color="000000"/>
            </w:tcBorders>
            <w:shd w:val="clear" w:color="auto" w:fill="auto"/>
          </w:tcPr>
          <w:p w14:paraId="5345EF65"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154 </w:t>
            </w:r>
          </w:p>
        </w:tc>
      </w:tr>
      <w:tr w:rsidR="00127040" w:rsidRPr="002E17FD" w14:paraId="061C1781" w14:textId="77777777" w:rsidTr="00873FF7">
        <w:trPr>
          <w:trHeight w:val="521"/>
        </w:trPr>
        <w:tc>
          <w:tcPr>
            <w:tcW w:w="2298" w:type="dxa"/>
            <w:tcBorders>
              <w:top w:val="single" w:sz="6" w:space="0" w:color="000000"/>
              <w:left w:val="single" w:sz="8" w:space="0" w:color="000000"/>
              <w:bottom w:val="single" w:sz="6" w:space="0" w:color="000000"/>
              <w:right w:val="single" w:sz="8" w:space="0" w:color="000000"/>
            </w:tcBorders>
            <w:shd w:val="clear" w:color="auto" w:fill="auto"/>
          </w:tcPr>
          <w:p w14:paraId="70B8FE72"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Среднее значение общей выживаемости, недели </w:t>
            </w:r>
          </w:p>
        </w:tc>
        <w:tc>
          <w:tcPr>
            <w:tcW w:w="3389" w:type="dxa"/>
            <w:tcBorders>
              <w:top w:val="single" w:sz="6" w:space="0" w:color="000000"/>
              <w:left w:val="single" w:sz="8" w:space="0" w:color="000000"/>
              <w:bottom w:val="single" w:sz="6" w:space="0" w:color="000000"/>
              <w:right w:val="single" w:sz="6" w:space="0" w:color="000000"/>
            </w:tcBorders>
            <w:shd w:val="clear" w:color="auto" w:fill="auto"/>
          </w:tcPr>
          <w:p w14:paraId="04064E35"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74,0 </w:t>
            </w:r>
          </w:p>
        </w:tc>
        <w:tc>
          <w:tcPr>
            <w:tcW w:w="3387" w:type="dxa"/>
            <w:tcBorders>
              <w:top w:val="single" w:sz="6" w:space="0" w:color="000000"/>
              <w:left w:val="single" w:sz="6" w:space="0" w:color="000000"/>
              <w:bottom w:val="single" w:sz="6" w:space="0" w:color="000000"/>
              <w:right w:val="single" w:sz="8" w:space="0" w:color="000000"/>
            </w:tcBorders>
            <w:shd w:val="clear" w:color="auto" w:fill="auto"/>
          </w:tcPr>
          <w:p w14:paraId="00F30539"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65,9 </w:t>
            </w:r>
          </w:p>
        </w:tc>
      </w:tr>
      <w:tr w:rsidR="00127040" w:rsidRPr="002E17FD" w14:paraId="44CAFC96" w14:textId="77777777" w:rsidTr="00873FF7">
        <w:trPr>
          <w:trHeight w:val="269"/>
        </w:trPr>
        <w:tc>
          <w:tcPr>
            <w:tcW w:w="2298" w:type="dxa"/>
            <w:tcBorders>
              <w:top w:val="single" w:sz="6" w:space="0" w:color="000000"/>
              <w:left w:val="single" w:sz="8" w:space="0" w:color="000000"/>
              <w:bottom w:val="single" w:sz="6" w:space="0" w:color="000000"/>
              <w:right w:val="single" w:sz="8" w:space="0" w:color="000000"/>
            </w:tcBorders>
            <w:shd w:val="clear" w:color="auto" w:fill="auto"/>
          </w:tcPr>
          <w:p w14:paraId="7EBE6163" w14:textId="77777777" w:rsidR="00127040" w:rsidRPr="002E17FD" w:rsidRDefault="00127040" w:rsidP="00873FF7">
            <w:pPr>
              <w:tabs>
                <w:tab w:val="center" w:pos="858"/>
              </w:tabs>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 Соотношение рисков  </w:t>
            </w:r>
          </w:p>
        </w:tc>
        <w:tc>
          <w:tcPr>
            <w:tcW w:w="3389" w:type="dxa"/>
            <w:tcBorders>
              <w:top w:val="single" w:sz="6" w:space="0" w:color="000000"/>
              <w:left w:val="single" w:sz="8" w:space="0" w:color="000000"/>
              <w:bottom w:val="single" w:sz="6" w:space="0" w:color="000000"/>
              <w:right w:val="nil"/>
            </w:tcBorders>
            <w:shd w:val="clear" w:color="auto" w:fill="auto"/>
          </w:tcPr>
          <w:p w14:paraId="68AB2122"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0,9 </w:t>
            </w:r>
          </w:p>
        </w:tc>
        <w:tc>
          <w:tcPr>
            <w:tcW w:w="3387" w:type="dxa"/>
            <w:tcBorders>
              <w:top w:val="single" w:sz="6" w:space="0" w:color="000000"/>
              <w:left w:val="nil"/>
              <w:bottom w:val="single" w:sz="6" w:space="0" w:color="000000"/>
              <w:right w:val="single" w:sz="8" w:space="0" w:color="000000"/>
            </w:tcBorders>
            <w:shd w:val="clear" w:color="auto" w:fill="auto"/>
          </w:tcPr>
          <w:p w14:paraId="08231435" w14:textId="77777777" w:rsidR="00127040" w:rsidRPr="002E17FD" w:rsidRDefault="00127040" w:rsidP="00873FF7">
            <w:pPr>
              <w:spacing w:after="0" w:line="20" w:lineRule="atLeast"/>
              <w:jc w:val="both"/>
              <w:rPr>
                <w:rFonts w:ascii="Times New Roman" w:eastAsia="Times New Roman" w:hAnsi="Times New Roman"/>
                <w:sz w:val="24"/>
                <w:szCs w:val="24"/>
              </w:rPr>
            </w:pPr>
          </w:p>
        </w:tc>
      </w:tr>
      <w:tr w:rsidR="00127040" w:rsidRPr="002E17FD" w14:paraId="46FE7D26" w14:textId="77777777" w:rsidTr="00873FF7">
        <w:trPr>
          <w:trHeight w:val="266"/>
        </w:trPr>
        <w:tc>
          <w:tcPr>
            <w:tcW w:w="2298" w:type="dxa"/>
            <w:tcBorders>
              <w:top w:val="single" w:sz="6" w:space="0" w:color="000000"/>
              <w:left w:val="single" w:sz="8" w:space="0" w:color="000000"/>
              <w:bottom w:val="single" w:sz="6" w:space="0" w:color="000000"/>
              <w:right w:val="single" w:sz="8" w:space="0" w:color="000000"/>
            </w:tcBorders>
            <w:shd w:val="clear" w:color="auto" w:fill="auto"/>
          </w:tcPr>
          <w:p w14:paraId="3A48DD56" w14:textId="77777777" w:rsidR="00127040" w:rsidRPr="002E17FD" w:rsidRDefault="00127040" w:rsidP="00873FF7">
            <w:pPr>
              <w:tabs>
                <w:tab w:val="center" w:pos="685"/>
              </w:tabs>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 (95% CI) </w:t>
            </w:r>
          </w:p>
        </w:tc>
        <w:tc>
          <w:tcPr>
            <w:tcW w:w="3389" w:type="dxa"/>
            <w:tcBorders>
              <w:top w:val="single" w:sz="6" w:space="0" w:color="000000"/>
              <w:left w:val="single" w:sz="8" w:space="0" w:color="000000"/>
              <w:bottom w:val="single" w:sz="6" w:space="0" w:color="000000"/>
              <w:right w:val="nil"/>
            </w:tcBorders>
            <w:shd w:val="clear" w:color="auto" w:fill="auto"/>
          </w:tcPr>
          <w:p w14:paraId="185FF3BA"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(0,71, 1,12) </w:t>
            </w:r>
          </w:p>
        </w:tc>
        <w:tc>
          <w:tcPr>
            <w:tcW w:w="3387" w:type="dxa"/>
            <w:tcBorders>
              <w:top w:val="single" w:sz="6" w:space="0" w:color="000000"/>
              <w:left w:val="nil"/>
              <w:bottom w:val="single" w:sz="6" w:space="0" w:color="000000"/>
              <w:right w:val="single" w:sz="8" w:space="0" w:color="000000"/>
            </w:tcBorders>
            <w:shd w:val="clear" w:color="auto" w:fill="auto"/>
          </w:tcPr>
          <w:p w14:paraId="3415E4FD" w14:textId="77777777" w:rsidR="00127040" w:rsidRPr="002E17FD" w:rsidRDefault="00127040" w:rsidP="00873FF7">
            <w:pPr>
              <w:spacing w:after="0" w:line="20" w:lineRule="atLeast"/>
              <w:jc w:val="both"/>
              <w:rPr>
                <w:rFonts w:ascii="Times New Roman" w:eastAsia="Times New Roman" w:hAnsi="Times New Roman"/>
                <w:sz w:val="24"/>
                <w:szCs w:val="24"/>
              </w:rPr>
            </w:pPr>
          </w:p>
        </w:tc>
      </w:tr>
      <w:tr w:rsidR="00127040" w:rsidRPr="002E17FD" w14:paraId="2C31CA75" w14:textId="77777777" w:rsidTr="00873FF7">
        <w:trPr>
          <w:trHeight w:val="271"/>
        </w:trPr>
        <w:tc>
          <w:tcPr>
            <w:tcW w:w="2298" w:type="dxa"/>
            <w:tcBorders>
              <w:top w:val="single" w:sz="6" w:space="0" w:color="000000"/>
              <w:left w:val="single" w:sz="8" w:space="0" w:color="000000"/>
              <w:bottom w:val="single" w:sz="8" w:space="0" w:color="000000"/>
              <w:right w:val="single" w:sz="8" w:space="0" w:color="000000"/>
            </w:tcBorders>
            <w:shd w:val="clear" w:color="auto" w:fill="auto"/>
          </w:tcPr>
          <w:p w14:paraId="2C140056" w14:textId="77777777" w:rsidR="00127040" w:rsidRPr="002E17FD" w:rsidRDefault="00127040" w:rsidP="00873FF7">
            <w:pPr>
              <w:tabs>
                <w:tab w:val="center" w:pos="595"/>
              </w:tabs>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 </w:t>
            </w:r>
            <w:r w:rsidRPr="002E17FD">
              <w:rPr>
                <w:rFonts w:ascii="Times New Roman" w:eastAsia="Times New Roman" w:hAnsi="Times New Roman"/>
                <w:sz w:val="24"/>
                <w:szCs w:val="24"/>
                <w:lang w:val="ru"/>
              </w:rPr>
              <w:tab/>
              <w:t xml:space="preserve">Значение p </w:t>
            </w:r>
          </w:p>
        </w:tc>
        <w:tc>
          <w:tcPr>
            <w:tcW w:w="3389" w:type="dxa"/>
            <w:tcBorders>
              <w:top w:val="single" w:sz="6" w:space="0" w:color="000000"/>
              <w:left w:val="single" w:sz="8" w:space="0" w:color="000000"/>
              <w:bottom w:val="single" w:sz="6" w:space="0" w:color="000000"/>
              <w:right w:val="nil"/>
            </w:tcBorders>
            <w:shd w:val="clear" w:color="auto" w:fill="auto"/>
          </w:tcPr>
          <w:p w14:paraId="165D9B71"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0,3 </w:t>
            </w:r>
          </w:p>
        </w:tc>
        <w:tc>
          <w:tcPr>
            <w:tcW w:w="3387" w:type="dxa"/>
            <w:tcBorders>
              <w:top w:val="single" w:sz="6" w:space="0" w:color="000000"/>
              <w:left w:val="nil"/>
              <w:bottom w:val="single" w:sz="6" w:space="0" w:color="000000"/>
              <w:right w:val="single" w:sz="8" w:space="0" w:color="000000"/>
            </w:tcBorders>
            <w:shd w:val="clear" w:color="auto" w:fill="auto"/>
          </w:tcPr>
          <w:p w14:paraId="2020FA5F" w14:textId="77777777" w:rsidR="00127040" w:rsidRPr="002E17FD" w:rsidRDefault="00127040" w:rsidP="00873FF7">
            <w:pPr>
              <w:spacing w:after="0" w:line="20" w:lineRule="atLeast"/>
              <w:jc w:val="both"/>
              <w:rPr>
                <w:rFonts w:ascii="Times New Roman" w:eastAsia="Times New Roman" w:hAnsi="Times New Roman"/>
                <w:sz w:val="24"/>
                <w:szCs w:val="24"/>
              </w:rPr>
            </w:pPr>
          </w:p>
        </w:tc>
      </w:tr>
    </w:tbl>
    <w:p w14:paraId="0D30A9F9" w14:textId="77777777" w:rsidR="00127040" w:rsidRPr="002E17FD" w:rsidRDefault="00127040" w:rsidP="003D2154">
      <w:pPr>
        <w:spacing w:after="0" w:line="20" w:lineRule="atLeast"/>
        <w:ind w:right="7"/>
        <w:jc w:val="both"/>
        <w:rPr>
          <w:rFonts w:ascii="Times New Roman" w:hAnsi="Times New Roman"/>
          <w:sz w:val="24"/>
          <w:szCs w:val="24"/>
          <w:lang w:val="ru"/>
        </w:rPr>
      </w:pPr>
      <w:r w:rsidRPr="002E17FD">
        <w:rPr>
          <w:rFonts w:ascii="Times New Roman" w:hAnsi="Times New Roman"/>
          <w:sz w:val="24"/>
          <w:szCs w:val="24"/>
          <w:lang w:val="ru"/>
        </w:rPr>
        <w:t xml:space="preserve">В группе с комбинированным лечением сообщалось о 4 (2%) случаях прогрессии со стороны центральной нервной системы по сравнению с 13 (6%) случаями прогрессии в группе капецитабина в качестве монотерапии. </w:t>
      </w:r>
    </w:p>
    <w:p w14:paraId="1EF5632A" w14:textId="77777777" w:rsidR="00C937F3" w:rsidRPr="002E17FD" w:rsidRDefault="00C937F3" w:rsidP="00C937F3">
      <w:pPr>
        <w:spacing w:after="0" w:line="20" w:lineRule="atLeast"/>
        <w:ind w:left="-5" w:right="7"/>
        <w:jc w:val="both"/>
        <w:rPr>
          <w:rFonts w:ascii="Times New Roman" w:hAnsi="Times New Roman"/>
          <w:sz w:val="24"/>
          <w:szCs w:val="24"/>
        </w:rPr>
      </w:pPr>
      <w:r w:rsidRPr="002E17FD">
        <w:rPr>
          <w:rFonts w:ascii="Times New Roman" w:hAnsi="Times New Roman"/>
          <w:sz w:val="24"/>
          <w:szCs w:val="24"/>
          <w:lang w:val="ru"/>
        </w:rPr>
        <w:t xml:space="preserve">Имеются данные об эффективности и безопасности </w:t>
      </w:r>
      <w:r w:rsidR="003D2154" w:rsidRPr="002E17FD">
        <w:rPr>
          <w:rFonts w:ascii="Times New Roman" w:hAnsi="Times New Roman"/>
          <w:sz w:val="24"/>
          <w:szCs w:val="24"/>
          <w:lang w:val="ru"/>
        </w:rPr>
        <w:t>л</w:t>
      </w:r>
      <w:r w:rsidRPr="002E17FD">
        <w:rPr>
          <w:rFonts w:ascii="Times New Roman" w:hAnsi="Times New Roman"/>
          <w:sz w:val="24"/>
          <w:szCs w:val="24"/>
          <w:lang w:val="ru"/>
        </w:rPr>
        <w:t xml:space="preserve">апатиниба в сочетании с капецитабином по отношению к трастузумабу в комбинации с капецитабином. </w:t>
      </w:r>
      <w:r w:rsidR="003D2154" w:rsidRPr="002E17FD">
        <w:rPr>
          <w:rFonts w:ascii="Times New Roman" w:hAnsi="Times New Roman"/>
          <w:sz w:val="24"/>
          <w:szCs w:val="24"/>
          <w:lang w:val="ru"/>
        </w:rPr>
        <w:t>Есть данные о</w:t>
      </w:r>
      <w:r w:rsidRPr="002E17FD">
        <w:rPr>
          <w:rFonts w:ascii="Times New Roman" w:hAnsi="Times New Roman"/>
          <w:sz w:val="24"/>
          <w:szCs w:val="24"/>
          <w:lang w:val="ru"/>
        </w:rPr>
        <w:t xml:space="preserve"> рандомизированном исследовании III фазы (EGF111438) (N = 540) было проведено сравнение воздействия двух схем лечения на заболеваемость ЦНС, как участок первого рецидива у женщин с гиперэкспрессией HER2 метастатического рака молочной железы. Пациентов случайным образом распределили по следующим группам: </w:t>
      </w:r>
      <w:r w:rsidR="003D2154" w:rsidRPr="002E17FD">
        <w:rPr>
          <w:rFonts w:ascii="Times New Roman" w:hAnsi="Times New Roman"/>
          <w:sz w:val="24"/>
          <w:szCs w:val="24"/>
          <w:lang w:val="ru"/>
        </w:rPr>
        <w:t>л</w:t>
      </w:r>
      <w:r w:rsidRPr="002E17FD">
        <w:rPr>
          <w:rFonts w:ascii="Times New Roman" w:hAnsi="Times New Roman"/>
          <w:sz w:val="24"/>
          <w:szCs w:val="24"/>
          <w:lang w:val="ru"/>
        </w:rPr>
        <w:t>апатиниб в дозе 1250 мг один раз в день (постоянно) плюс капецитабин (2000 мг/м</w:t>
      </w:r>
      <w:r w:rsidRPr="002E17FD">
        <w:rPr>
          <w:rFonts w:ascii="Times New Roman" w:hAnsi="Times New Roman"/>
          <w:sz w:val="24"/>
          <w:szCs w:val="24"/>
          <w:vertAlign w:val="superscript"/>
          <w:lang w:val="ru"/>
        </w:rPr>
        <w:t>2</w:t>
      </w:r>
      <w:r w:rsidRPr="002E17FD">
        <w:rPr>
          <w:rFonts w:ascii="Times New Roman" w:hAnsi="Times New Roman"/>
          <w:sz w:val="24"/>
          <w:szCs w:val="24"/>
          <w:lang w:val="ru"/>
        </w:rPr>
        <w:t>/сутки в 1–14 дни каждые 21 день) или трастузумаб (нагрузочная доза 8 мг/кг с последующим приемом 6 мг/кг в виде инфузий каждые 3 недели) плюс капецитабин (2500 мг/м</w:t>
      </w:r>
      <w:r w:rsidRPr="002E17FD">
        <w:rPr>
          <w:rFonts w:ascii="Times New Roman" w:hAnsi="Times New Roman"/>
          <w:sz w:val="24"/>
          <w:szCs w:val="24"/>
          <w:vertAlign w:val="superscript"/>
          <w:lang w:val="ru"/>
        </w:rPr>
        <w:t>2</w:t>
      </w:r>
      <w:r w:rsidRPr="002E17FD">
        <w:rPr>
          <w:rFonts w:ascii="Times New Roman" w:hAnsi="Times New Roman"/>
          <w:sz w:val="24"/>
          <w:szCs w:val="24"/>
          <w:lang w:val="ru"/>
        </w:rPr>
        <w:t xml:space="preserve">/сутки в 1–14 дни каждые 21 день). Распределение проводилось в соответствии с предварительным лечением трастузумабом и рядом предшествующих видов лечения метастатической болезни. Исследование было остановлено, так как промежуточный анализ (N = 475) показал низкий уровень осложнений со стороны ЦНС, а также высокую эффективность в группе трастузумаба в сочетании с капецитабином в отношении выживаемости без прогрессирования и общей выживаемости (см. результаты окончательного анализа в таблице 3). </w:t>
      </w:r>
    </w:p>
    <w:p w14:paraId="46EA1474" w14:textId="77777777" w:rsidR="00C937F3" w:rsidRPr="002E17FD" w:rsidRDefault="00C937F3" w:rsidP="00C937F3">
      <w:pPr>
        <w:spacing w:after="0" w:line="20" w:lineRule="atLeast"/>
        <w:ind w:left="-5" w:right="7"/>
        <w:jc w:val="both"/>
        <w:rPr>
          <w:rFonts w:ascii="Times New Roman" w:hAnsi="Times New Roman"/>
          <w:sz w:val="24"/>
          <w:szCs w:val="24"/>
        </w:rPr>
      </w:pPr>
      <w:r w:rsidRPr="002E17FD">
        <w:rPr>
          <w:rFonts w:ascii="Times New Roman" w:hAnsi="Times New Roman"/>
          <w:sz w:val="24"/>
          <w:szCs w:val="24"/>
          <w:lang w:val="ru"/>
        </w:rPr>
        <w:t xml:space="preserve">В группе лечения </w:t>
      </w:r>
      <w:r w:rsidR="00C06123" w:rsidRPr="002E17FD">
        <w:rPr>
          <w:rFonts w:ascii="Times New Roman" w:hAnsi="Times New Roman"/>
          <w:sz w:val="24"/>
          <w:szCs w:val="24"/>
          <w:lang w:val="ru"/>
        </w:rPr>
        <w:t>л</w:t>
      </w:r>
      <w:r w:rsidRPr="002E17FD">
        <w:rPr>
          <w:rFonts w:ascii="Times New Roman" w:hAnsi="Times New Roman"/>
          <w:sz w:val="24"/>
          <w:szCs w:val="24"/>
          <w:lang w:val="ru"/>
        </w:rPr>
        <w:t xml:space="preserve">апатинибом в сочетании с капецитабином 8 пациентов (3,2%) испытали осложнения со стороны ЦНС, как места первого прогрессирования, по сравнению с 12 пациентами (4,8%) в группе лечения трастузумабом в сочетании с капецитабином. </w:t>
      </w:r>
    </w:p>
    <w:p w14:paraId="1D1F89F3" w14:textId="77777777" w:rsidR="00C937F3" w:rsidRPr="002E17FD" w:rsidRDefault="00C937F3" w:rsidP="00C937F3">
      <w:pPr>
        <w:spacing w:after="0" w:line="20" w:lineRule="atLeast"/>
        <w:ind w:left="-5"/>
        <w:jc w:val="both"/>
        <w:rPr>
          <w:rFonts w:ascii="Times New Roman" w:hAnsi="Times New Roman"/>
          <w:sz w:val="24"/>
          <w:szCs w:val="24"/>
        </w:rPr>
      </w:pPr>
      <w:r w:rsidRPr="002E17FD">
        <w:rPr>
          <w:rFonts w:ascii="Times New Roman" w:hAnsi="Times New Roman"/>
          <w:i/>
          <w:iCs/>
          <w:sz w:val="24"/>
          <w:szCs w:val="24"/>
          <w:lang w:val="ru"/>
        </w:rPr>
        <w:t xml:space="preserve">Влияние лапатиниба на метастазы ЦНС </w:t>
      </w:r>
    </w:p>
    <w:p w14:paraId="5DFBE0A7" w14:textId="77777777" w:rsidR="00C937F3" w:rsidRPr="002E17FD" w:rsidRDefault="00C937F3" w:rsidP="00C06123">
      <w:pPr>
        <w:spacing w:after="0" w:line="20" w:lineRule="atLeast"/>
        <w:ind w:left="-5" w:right="7"/>
        <w:jc w:val="both"/>
        <w:rPr>
          <w:rFonts w:ascii="Times New Roman" w:hAnsi="Times New Roman"/>
          <w:sz w:val="24"/>
          <w:szCs w:val="24"/>
          <w:lang w:val="ru"/>
        </w:rPr>
      </w:pPr>
      <w:r w:rsidRPr="002E17FD">
        <w:rPr>
          <w:rFonts w:ascii="Times New Roman" w:hAnsi="Times New Roman"/>
          <w:sz w:val="24"/>
          <w:szCs w:val="24"/>
          <w:lang w:val="ru"/>
        </w:rPr>
        <w:t xml:space="preserve">В плане объективных ответов лапатиниб показал умеренную активность в лечении установленных метастазов ЦНС. При профилактике метастазов ЦНС в метастатическом и начальном раке молочной железы обнаруженная активность была ограничена. </w:t>
      </w:r>
    </w:p>
    <w:p w14:paraId="22E65B69" w14:textId="77777777" w:rsidR="00C25238" w:rsidRPr="002E17FD" w:rsidRDefault="00127040" w:rsidP="00C25238">
      <w:pPr>
        <w:spacing w:after="0" w:line="20" w:lineRule="atLeast"/>
        <w:ind w:right="7"/>
        <w:rPr>
          <w:rFonts w:ascii="Times New Roman" w:hAnsi="Times New Roman"/>
          <w:b/>
          <w:bCs/>
          <w:sz w:val="24"/>
          <w:szCs w:val="24"/>
          <w:lang w:val="ru"/>
        </w:rPr>
      </w:pPr>
      <w:r w:rsidRPr="002E17FD">
        <w:rPr>
          <w:rFonts w:ascii="Times New Roman" w:hAnsi="Times New Roman"/>
          <w:b/>
          <w:bCs/>
          <w:sz w:val="24"/>
          <w:szCs w:val="24"/>
          <w:lang w:val="ru"/>
        </w:rPr>
        <w:t>Таблица 3. Анализы выживаемости без прогрессирования и общей выживаемости по оценке экспертов</w:t>
      </w:r>
    </w:p>
    <w:tbl>
      <w:tblPr>
        <w:tblpPr w:leftFromText="180" w:rightFromText="180" w:vertAnchor="text" w:horzAnchor="margin" w:tblpX="113" w:tblpY="74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 w:type="dxa"/>
          <w:left w:w="113" w:type="dxa"/>
          <w:bottom w:w="5" w:type="dxa"/>
          <w:right w:w="63" w:type="dxa"/>
        </w:tblCellMar>
        <w:tblLook w:val="04A0" w:firstRow="1" w:lastRow="0" w:firstColumn="1" w:lastColumn="0" w:noHBand="0" w:noVBand="1"/>
      </w:tblPr>
      <w:tblGrid>
        <w:gridCol w:w="2041"/>
        <w:gridCol w:w="1928"/>
        <w:gridCol w:w="199"/>
        <w:gridCol w:w="1502"/>
        <w:gridCol w:w="1701"/>
        <w:gridCol w:w="1645"/>
      </w:tblGrid>
      <w:tr w:rsidR="00127040" w:rsidRPr="002E17FD" w14:paraId="0F114C4E" w14:textId="77777777" w:rsidTr="00BC70B2">
        <w:trPr>
          <w:trHeight w:val="262"/>
        </w:trPr>
        <w:tc>
          <w:tcPr>
            <w:tcW w:w="2041" w:type="dxa"/>
            <w:vMerge w:val="restart"/>
            <w:shd w:val="clear" w:color="auto" w:fill="auto"/>
          </w:tcPr>
          <w:p w14:paraId="7A4D7E78" w14:textId="77777777" w:rsidR="00127040" w:rsidRPr="002E17FD" w:rsidRDefault="00127040" w:rsidP="00873FF7">
            <w:pPr>
              <w:spacing w:after="0" w:line="20" w:lineRule="atLeast"/>
              <w:ind w:left="2"/>
              <w:jc w:val="both"/>
              <w:rPr>
                <w:rFonts w:ascii="Times New Roman" w:eastAsia="Times New Roman" w:hAnsi="Times New Roman"/>
                <w:sz w:val="24"/>
                <w:szCs w:val="24"/>
              </w:rPr>
            </w:pPr>
          </w:p>
        </w:tc>
        <w:tc>
          <w:tcPr>
            <w:tcW w:w="3629" w:type="dxa"/>
            <w:gridSpan w:val="3"/>
            <w:shd w:val="clear" w:color="auto" w:fill="auto"/>
          </w:tcPr>
          <w:p w14:paraId="09F9ABB2" w14:textId="77777777" w:rsidR="00127040" w:rsidRPr="002E17FD" w:rsidRDefault="00127040" w:rsidP="00873FF7">
            <w:pPr>
              <w:spacing w:after="0" w:line="20" w:lineRule="atLeast"/>
              <w:ind w:right="58"/>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Выживаемость без прогрессирования по оценке экспертов </w:t>
            </w:r>
          </w:p>
        </w:tc>
        <w:tc>
          <w:tcPr>
            <w:tcW w:w="3346" w:type="dxa"/>
            <w:gridSpan w:val="2"/>
            <w:shd w:val="clear" w:color="auto" w:fill="auto"/>
          </w:tcPr>
          <w:p w14:paraId="4A3C86EF" w14:textId="77777777" w:rsidR="00127040" w:rsidRPr="002E17FD" w:rsidRDefault="00127040" w:rsidP="00873FF7">
            <w:pPr>
              <w:spacing w:after="0" w:line="20" w:lineRule="atLeast"/>
              <w:ind w:right="57"/>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Общая выживаемость </w:t>
            </w:r>
          </w:p>
        </w:tc>
      </w:tr>
      <w:tr w:rsidR="00127040" w:rsidRPr="002E17FD" w14:paraId="56DC5D28" w14:textId="77777777" w:rsidTr="00BC70B2">
        <w:trPr>
          <w:trHeight w:val="834"/>
        </w:trPr>
        <w:tc>
          <w:tcPr>
            <w:tcW w:w="2041" w:type="dxa"/>
            <w:vMerge/>
            <w:shd w:val="clear" w:color="auto" w:fill="auto"/>
          </w:tcPr>
          <w:p w14:paraId="25A8F8C5" w14:textId="77777777" w:rsidR="00127040" w:rsidRPr="002E17FD" w:rsidRDefault="00127040" w:rsidP="00873FF7">
            <w:pPr>
              <w:spacing w:after="0" w:line="20" w:lineRule="atLeast"/>
              <w:jc w:val="both"/>
              <w:rPr>
                <w:rFonts w:ascii="Times New Roman" w:eastAsia="Times New Roman" w:hAnsi="Times New Roman"/>
                <w:sz w:val="24"/>
                <w:szCs w:val="24"/>
              </w:rPr>
            </w:pPr>
          </w:p>
        </w:tc>
        <w:tc>
          <w:tcPr>
            <w:tcW w:w="1928" w:type="dxa"/>
            <w:shd w:val="clear" w:color="auto" w:fill="auto"/>
          </w:tcPr>
          <w:p w14:paraId="5E5C6C64" w14:textId="77777777" w:rsidR="00127040" w:rsidRPr="002E17FD" w:rsidRDefault="0013336C"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Лапатиниб</w:t>
            </w:r>
            <w:r w:rsidR="00127040" w:rsidRPr="002E17FD">
              <w:rPr>
                <w:rFonts w:ascii="Times New Roman" w:eastAsia="Times New Roman" w:hAnsi="Times New Roman"/>
                <w:b/>
                <w:bCs/>
                <w:sz w:val="24"/>
                <w:szCs w:val="24"/>
                <w:lang w:val="ru"/>
              </w:rPr>
              <w:t xml:space="preserve"> (1,250 мг/день) + </w:t>
            </w:r>
          </w:p>
          <w:p w14:paraId="1AB71577" w14:textId="77777777" w:rsidR="00127040" w:rsidRPr="002E17FD" w:rsidRDefault="00127040" w:rsidP="00873FF7">
            <w:pPr>
              <w:spacing w:after="0" w:line="20" w:lineRule="atLeast"/>
              <w:ind w:right="56"/>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капецитабин </w:t>
            </w:r>
          </w:p>
          <w:p w14:paraId="7CBF4799"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lastRenderedPageBreak/>
              <w:t>(2000 мг/м</w:t>
            </w:r>
            <w:r w:rsidRPr="002E17FD">
              <w:rPr>
                <w:rFonts w:ascii="Times New Roman" w:eastAsia="Times New Roman" w:hAnsi="Times New Roman"/>
                <w:b/>
                <w:bCs/>
                <w:sz w:val="24"/>
                <w:szCs w:val="24"/>
                <w:vertAlign w:val="superscript"/>
                <w:lang w:val="ru"/>
              </w:rPr>
              <w:t>2</w:t>
            </w:r>
            <w:r w:rsidRPr="002E17FD">
              <w:rPr>
                <w:rFonts w:ascii="Times New Roman" w:eastAsia="Times New Roman" w:hAnsi="Times New Roman"/>
                <w:b/>
                <w:bCs/>
                <w:sz w:val="24"/>
                <w:szCs w:val="24"/>
                <w:lang w:val="ru"/>
              </w:rPr>
              <w:t xml:space="preserve">/сутки, 1–14 дни каждые 21 день) </w:t>
            </w:r>
          </w:p>
        </w:tc>
        <w:tc>
          <w:tcPr>
            <w:tcW w:w="1701" w:type="dxa"/>
            <w:gridSpan w:val="2"/>
            <w:shd w:val="clear" w:color="auto" w:fill="auto"/>
          </w:tcPr>
          <w:p w14:paraId="512AC2D3" w14:textId="77777777" w:rsidR="00127040" w:rsidRPr="002E17FD" w:rsidRDefault="00127040" w:rsidP="00873FF7">
            <w:pPr>
              <w:spacing w:after="0" w:line="20" w:lineRule="atLeast"/>
              <w:ind w:right="58"/>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lastRenderedPageBreak/>
              <w:t xml:space="preserve">Трастузумаб </w:t>
            </w:r>
          </w:p>
          <w:p w14:paraId="7080F76F" w14:textId="77777777" w:rsidR="00127040" w:rsidRPr="002E17FD" w:rsidRDefault="00127040" w:rsidP="00873FF7">
            <w:pPr>
              <w:spacing w:after="0" w:line="20" w:lineRule="atLeast"/>
              <w:ind w:right="59"/>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(нагрузочная доза </w:t>
            </w:r>
          </w:p>
          <w:p w14:paraId="1EA154EA"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8 мг/кг с </w:t>
            </w:r>
            <w:r w:rsidRPr="002E17FD">
              <w:rPr>
                <w:rFonts w:ascii="Times New Roman" w:eastAsia="Times New Roman" w:hAnsi="Times New Roman"/>
                <w:b/>
                <w:bCs/>
                <w:sz w:val="24"/>
                <w:szCs w:val="24"/>
                <w:lang w:val="ru"/>
              </w:rPr>
              <w:lastRenderedPageBreak/>
              <w:t xml:space="preserve">последующим приемом 6 мг/кг в виде инфузий </w:t>
            </w:r>
          </w:p>
          <w:p w14:paraId="2E434497" w14:textId="77777777" w:rsidR="00127040" w:rsidRPr="002E17FD" w:rsidRDefault="00127040" w:rsidP="00873FF7">
            <w:pPr>
              <w:spacing w:after="0" w:line="20" w:lineRule="atLeast"/>
              <w:ind w:left="34"/>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каждые 3 недели) </w:t>
            </w:r>
          </w:p>
          <w:p w14:paraId="65AB1571" w14:textId="77777777" w:rsidR="00127040" w:rsidRPr="002E17FD" w:rsidRDefault="00127040" w:rsidP="00873FF7">
            <w:pPr>
              <w:spacing w:after="0" w:line="20" w:lineRule="atLeast"/>
              <w:ind w:left="29" w:right="195"/>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 капецитабин </w:t>
            </w:r>
          </w:p>
          <w:p w14:paraId="6F627FEB"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(2500 мг/м</w:t>
            </w:r>
            <w:r w:rsidRPr="002E17FD">
              <w:rPr>
                <w:rFonts w:ascii="Times New Roman" w:eastAsia="Times New Roman" w:hAnsi="Times New Roman"/>
                <w:b/>
                <w:bCs/>
                <w:sz w:val="24"/>
                <w:szCs w:val="24"/>
                <w:vertAlign w:val="superscript"/>
                <w:lang w:val="ru"/>
              </w:rPr>
              <w:t>2</w:t>
            </w:r>
            <w:r w:rsidRPr="002E17FD">
              <w:rPr>
                <w:rFonts w:ascii="Times New Roman" w:eastAsia="Times New Roman" w:hAnsi="Times New Roman"/>
                <w:b/>
                <w:bCs/>
                <w:sz w:val="24"/>
                <w:szCs w:val="24"/>
                <w:lang w:val="ru"/>
              </w:rPr>
              <w:t xml:space="preserve">/сутки, 1–14 дни каждые 21 день) </w:t>
            </w:r>
          </w:p>
        </w:tc>
        <w:tc>
          <w:tcPr>
            <w:tcW w:w="1701" w:type="dxa"/>
            <w:shd w:val="clear" w:color="auto" w:fill="auto"/>
          </w:tcPr>
          <w:p w14:paraId="30D23B7B" w14:textId="77777777" w:rsidR="00127040" w:rsidRPr="002E17FD" w:rsidRDefault="0013336C"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lastRenderedPageBreak/>
              <w:t>Лапатиниб</w:t>
            </w:r>
            <w:r w:rsidR="00127040" w:rsidRPr="002E17FD">
              <w:rPr>
                <w:rFonts w:ascii="Times New Roman" w:eastAsia="Times New Roman" w:hAnsi="Times New Roman"/>
                <w:b/>
                <w:bCs/>
                <w:sz w:val="24"/>
                <w:szCs w:val="24"/>
                <w:lang w:val="ru"/>
              </w:rPr>
              <w:t xml:space="preserve"> (1,250 мг/день) + </w:t>
            </w:r>
          </w:p>
          <w:p w14:paraId="0C40A0BF" w14:textId="77777777" w:rsidR="00127040" w:rsidRPr="002E17FD" w:rsidRDefault="00127040" w:rsidP="00873FF7">
            <w:pPr>
              <w:spacing w:after="0" w:line="20" w:lineRule="atLeast"/>
              <w:ind w:right="55"/>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капецитабин </w:t>
            </w:r>
          </w:p>
          <w:p w14:paraId="266388AB"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lastRenderedPageBreak/>
              <w:t>(2000 мг/м</w:t>
            </w:r>
            <w:r w:rsidRPr="002E17FD">
              <w:rPr>
                <w:rFonts w:ascii="Times New Roman" w:eastAsia="Times New Roman" w:hAnsi="Times New Roman"/>
                <w:b/>
                <w:bCs/>
                <w:sz w:val="24"/>
                <w:szCs w:val="24"/>
                <w:vertAlign w:val="superscript"/>
                <w:lang w:val="ru"/>
              </w:rPr>
              <w:t>2</w:t>
            </w:r>
            <w:r w:rsidRPr="002E17FD">
              <w:rPr>
                <w:rFonts w:ascii="Times New Roman" w:eastAsia="Times New Roman" w:hAnsi="Times New Roman"/>
                <w:b/>
                <w:bCs/>
                <w:sz w:val="24"/>
                <w:szCs w:val="24"/>
                <w:lang w:val="ru"/>
              </w:rPr>
              <w:t xml:space="preserve">/сутки, 1–14 дни каждые 21 день) </w:t>
            </w:r>
          </w:p>
        </w:tc>
        <w:tc>
          <w:tcPr>
            <w:tcW w:w="1645" w:type="dxa"/>
            <w:shd w:val="clear" w:color="auto" w:fill="auto"/>
          </w:tcPr>
          <w:p w14:paraId="537ED453" w14:textId="77777777" w:rsidR="00127040" w:rsidRPr="002E17FD" w:rsidRDefault="00127040" w:rsidP="00873FF7">
            <w:pPr>
              <w:spacing w:after="0" w:line="20" w:lineRule="atLeast"/>
              <w:ind w:right="57"/>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lastRenderedPageBreak/>
              <w:t xml:space="preserve">Трастузумаб </w:t>
            </w:r>
          </w:p>
          <w:p w14:paraId="43A44394" w14:textId="77777777" w:rsidR="00127040" w:rsidRPr="002E17FD" w:rsidRDefault="00127040" w:rsidP="00873FF7">
            <w:pPr>
              <w:spacing w:after="0" w:line="20" w:lineRule="atLeast"/>
              <w:ind w:right="58"/>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(нагрузочная доза </w:t>
            </w:r>
          </w:p>
          <w:p w14:paraId="0FC14CED"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8 мг/кг с </w:t>
            </w:r>
            <w:r w:rsidRPr="002E17FD">
              <w:rPr>
                <w:rFonts w:ascii="Times New Roman" w:eastAsia="Times New Roman" w:hAnsi="Times New Roman"/>
                <w:b/>
                <w:bCs/>
                <w:sz w:val="24"/>
                <w:szCs w:val="24"/>
                <w:lang w:val="ru"/>
              </w:rPr>
              <w:lastRenderedPageBreak/>
              <w:t xml:space="preserve">последующим приемом 6 мг/кг в виде инфузий </w:t>
            </w:r>
          </w:p>
          <w:p w14:paraId="05B0D081" w14:textId="77777777" w:rsidR="00127040" w:rsidRPr="002E17FD" w:rsidRDefault="00127040" w:rsidP="00873FF7">
            <w:pPr>
              <w:spacing w:after="0" w:line="20" w:lineRule="atLeast"/>
              <w:ind w:left="34"/>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каждые 3 недели) </w:t>
            </w:r>
          </w:p>
          <w:p w14:paraId="6B3BA560" w14:textId="77777777" w:rsidR="00127040" w:rsidRPr="002E17FD" w:rsidRDefault="00127040" w:rsidP="00873FF7">
            <w:pPr>
              <w:spacing w:after="0" w:line="20" w:lineRule="atLeast"/>
              <w:ind w:left="29" w:right="195"/>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 капецитабин </w:t>
            </w:r>
          </w:p>
          <w:p w14:paraId="6A443CC6"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(2500 мг/м</w:t>
            </w:r>
            <w:r w:rsidRPr="002E17FD">
              <w:rPr>
                <w:rFonts w:ascii="Times New Roman" w:eastAsia="Times New Roman" w:hAnsi="Times New Roman"/>
                <w:b/>
                <w:bCs/>
                <w:sz w:val="24"/>
                <w:szCs w:val="24"/>
                <w:vertAlign w:val="superscript"/>
                <w:lang w:val="ru"/>
              </w:rPr>
              <w:t>2</w:t>
            </w:r>
            <w:r w:rsidRPr="002E17FD">
              <w:rPr>
                <w:rFonts w:ascii="Times New Roman" w:eastAsia="Times New Roman" w:hAnsi="Times New Roman"/>
                <w:b/>
                <w:bCs/>
                <w:sz w:val="24"/>
                <w:szCs w:val="24"/>
                <w:lang w:val="ru"/>
              </w:rPr>
              <w:t xml:space="preserve">/сутки, 1–14 дни каждые 21 день) </w:t>
            </w:r>
          </w:p>
        </w:tc>
      </w:tr>
      <w:tr w:rsidR="00127040" w:rsidRPr="002E17FD" w14:paraId="05F910EF" w14:textId="77777777" w:rsidTr="00BC70B2">
        <w:trPr>
          <w:trHeight w:val="262"/>
        </w:trPr>
        <w:tc>
          <w:tcPr>
            <w:tcW w:w="9016" w:type="dxa"/>
            <w:gridSpan w:val="6"/>
            <w:shd w:val="clear" w:color="auto" w:fill="auto"/>
          </w:tcPr>
          <w:p w14:paraId="5EEEB094"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lastRenderedPageBreak/>
              <w:t xml:space="preserve">Пациенты, включенные в исследование </w:t>
            </w:r>
          </w:p>
        </w:tc>
      </w:tr>
      <w:tr w:rsidR="00127040" w:rsidRPr="002E17FD" w14:paraId="333DDA97" w14:textId="77777777" w:rsidTr="00BC70B2">
        <w:trPr>
          <w:trHeight w:val="264"/>
        </w:trPr>
        <w:tc>
          <w:tcPr>
            <w:tcW w:w="2041" w:type="dxa"/>
            <w:shd w:val="clear" w:color="auto" w:fill="auto"/>
          </w:tcPr>
          <w:p w14:paraId="3F0B5B45"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N </w:t>
            </w:r>
          </w:p>
        </w:tc>
        <w:tc>
          <w:tcPr>
            <w:tcW w:w="2127" w:type="dxa"/>
            <w:gridSpan w:val="2"/>
            <w:shd w:val="clear" w:color="auto" w:fill="auto"/>
          </w:tcPr>
          <w:p w14:paraId="31B9339E" w14:textId="77777777" w:rsidR="00127040" w:rsidRPr="002E17FD" w:rsidRDefault="00127040" w:rsidP="00873FF7">
            <w:pPr>
              <w:spacing w:after="0" w:line="20" w:lineRule="atLeast"/>
              <w:ind w:right="56"/>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271 </w:t>
            </w:r>
          </w:p>
        </w:tc>
        <w:tc>
          <w:tcPr>
            <w:tcW w:w="1502" w:type="dxa"/>
            <w:shd w:val="clear" w:color="auto" w:fill="auto"/>
          </w:tcPr>
          <w:p w14:paraId="28FE0E2A" w14:textId="77777777" w:rsidR="00127040" w:rsidRPr="002E17FD" w:rsidRDefault="00127040" w:rsidP="00873FF7">
            <w:pPr>
              <w:spacing w:after="0" w:line="20" w:lineRule="atLeast"/>
              <w:ind w:right="55"/>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269 </w:t>
            </w:r>
          </w:p>
        </w:tc>
        <w:tc>
          <w:tcPr>
            <w:tcW w:w="1701" w:type="dxa"/>
            <w:shd w:val="clear" w:color="auto" w:fill="auto"/>
          </w:tcPr>
          <w:p w14:paraId="35722BF6" w14:textId="77777777" w:rsidR="00127040" w:rsidRPr="002E17FD" w:rsidRDefault="00127040" w:rsidP="00873FF7">
            <w:pPr>
              <w:spacing w:after="0" w:line="20" w:lineRule="atLeast"/>
              <w:ind w:right="55"/>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271 </w:t>
            </w:r>
          </w:p>
        </w:tc>
        <w:tc>
          <w:tcPr>
            <w:tcW w:w="1645" w:type="dxa"/>
            <w:shd w:val="clear" w:color="auto" w:fill="auto"/>
          </w:tcPr>
          <w:p w14:paraId="780D59E0" w14:textId="77777777" w:rsidR="00127040" w:rsidRPr="002E17FD" w:rsidRDefault="00127040" w:rsidP="00873FF7">
            <w:pPr>
              <w:spacing w:after="0" w:line="20" w:lineRule="atLeast"/>
              <w:ind w:right="54"/>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269 </w:t>
            </w:r>
          </w:p>
        </w:tc>
      </w:tr>
      <w:tr w:rsidR="00127040" w:rsidRPr="002E17FD" w14:paraId="0E88F6E5" w14:textId="77777777" w:rsidTr="00BC70B2">
        <w:trPr>
          <w:trHeight w:val="516"/>
        </w:trPr>
        <w:tc>
          <w:tcPr>
            <w:tcW w:w="2041" w:type="dxa"/>
            <w:shd w:val="clear" w:color="auto" w:fill="auto"/>
          </w:tcPr>
          <w:p w14:paraId="66F7A234"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sz w:val="24"/>
                <w:szCs w:val="24"/>
                <w:lang w:val="ru"/>
              </w:rPr>
              <w:t>Количество (%) с осложнением</w:t>
            </w:r>
            <w:r w:rsidRPr="002E17FD">
              <w:rPr>
                <w:rFonts w:ascii="Times New Roman" w:eastAsia="Times New Roman" w:hAnsi="Times New Roman"/>
                <w:sz w:val="24"/>
                <w:szCs w:val="24"/>
                <w:vertAlign w:val="superscript"/>
                <w:lang w:val="ru"/>
              </w:rPr>
              <w:t xml:space="preserve">1 </w:t>
            </w:r>
          </w:p>
        </w:tc>
        <w:tc>
          <w:tcPr>
            <w:tcW w:w="2127" w:type="dxa"/>
            <w:gridSpan w:val="2"/>
            <w:shd w:val="clear" w:color="auto" w:fill="auto"/>
          </w:tcPr>
          <w:p w14:paraId="45168C71" w14:textId="77777777" w:rsidR="00127040" w:rsidRPr="002E17FD" w:rsidRDefault="00127040" w:rsidP="00873FF7">
            <w:pPr>
              <w:spacing w:after="0" w:line="20" w:lineRule="atLeast"/>
              <w:ind w:right="57"/>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160 (59) </w:t>
            </w:r>
          </w:p>
        </w:tc>
        <w:tc>
          <w:tcPr>
            <w:tcW w:w="1502" w:type="dxa"/>
            <w:shd w:val="clear" w:color="auto" w:fill="auto"/>
          </w:tcPr>
          <w:p w14:paraId="0D16A5F1" w14:textId="77777777" w:rsidR="00127040" w:rsidRPr="002E17FD" w:rsidRDefault="00127040" w:rsidP="00873FF7">
            <w:pPr>
              <w:spacing w:after="0" w:line="20" w:lineRule="atLeast"/>
              <w:ind w:right="56"/>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134 (50) </w:t>
            </w:r>
          </w:p>
        </w:tc>
        <w:tc>
          <w:tcPr>
            <w:tcW w:w="1701" w:type="dxa"/>
            <w:shd w:val="clear" w:color="auto" w:fill="auto"/>
          </w:tcPr>
          <w:p w14:paraId="38E8CEB1" w14:textId="77777777" w:rsidR="00127040" w:rsidRPr="002E17FD" w:rsidRDefault="00127040" w:rsidP="00873FF7">
            <w:pPr>
              <w:spacing w:after="0" w:line="20" w:lineRule="atLeast"/>
              <w:ind w:right="56"/>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70 (26) </w:t>
            </w:r>
          </w:p>
        </w:tc>
        <w:tc>
          <w:tcPr>
            <w:tcW w:w="1645" w:type="dxa"/>
            <w:shd w:val="clear" w:color="auto" w:fill="auto"/>
          </w:tcPr>
          <w:p w14:paraId="564E225C" w14:textId="77777777" w:rsidR="00127040" w:rsidRPr="002E17FD" w:rsidRDefault="00127040" w:rsidP="00873FF7">
            <w:pPr>
              <w:spacing w:after="0" w:line="20" w:lineRule="atLeast"/>
              <w:ind w:right="55"/>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58 (22) </w:t>
            </w:r>
          </w:p>
        </w:tc>
      </w:tr>
      <w:tr w:rsidR="00127040" w:rsidRPr="002E17FD" w14:paraId="7EEB2679" w14:textId="77777777" w:rsidTr="00BC70B2">
        <w:trPr>
          <w:trHeight w:val="768"/>
        </w:trPr>
        <w:tc>
          <w:tcPr>
            <w:tcW w:w="2041" w:type="dxa"/>
            <w:shd w:val="clear" w:color="auto" w:fill="auto"/>
          </w:tcPr>
          <w:p w14:paraId="37747001"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Расчёт по методу Каплан-Майера, месяцы </w:t>
            </w:r>
            <w:r w:rsidRPr="002E17FD">
              <w:rPr>
                <w:rFonts w:ascii="Times New Roman" w:eastAsia="Times New Roman" w:hAnsi="Times New Roman"/>
                <w:sz w:val="24"/>
                <w:szCs w:val="24"/>
                <w:vertAlign w:val="superscript"/>
                <w:lang w:val="ru"/>
              </w:rPr>
              <w:t>a</w:t>
            </w:r>
            <w:r w:rsidRPr="002E17FD">
              <w:rPr>
                <w:rFonts w:ascii="Times New Roman" w:eastAsia="Times New Roman" w:hAnsi="Times New Roman"/>
                <w:sz w:val="24"/>
                <w:szCs w:val="24"/>
                <w:lang w:val="ru"/>
              </w:rPr>
              <w:t xml:space="preserve"> </w:t>
            </w:r>
          </w:p>
        </w:tc>
        <w:tc>
          <w:tcPr>
            <w:tcW w:w="2127" w:type="dxa"/>
            <w:gridSpan w:val="2"/>
            <w:shd w:val="clear" w:color="auto" w:fill="auto"/>
          </w:tcPr>
          <w:p w14:paraId="08F9B4C7" w14:textId="77777777" w:rsidR="00127040" w:rsidRPr="002E17FD" w:rsidRDefault="00127040" w:rsidP="00873FF7">
            <w:pPr>
              <w:spacing w:after="0" w:line="20" w:lineRule="atLeast"/>
              <w:ind w:left="1"/>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 </w:t>
            </w:r>
          </w:p>
        </w:tc>
        <w:tc>
          <w:tcPr>
            <w:tcW w:w="1502" w:type="dxa"/>
            <w:shd w:val="clear" w:color="auto" w:fill="auto"/>
          </w:tcPr>
          <w:p w14:paraId="6E98E4AC"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 </w:t>
            </w:r>
          </w:p>
        </w:tc>
        <w:tc>
          <w:tcPr>
            <w:tcW w:w="1701" w:type="dxa"/>
            <w:shd w:val="clear" w:color="auto" w:fill="auto"/>
            <w:vAlign w:val="bottom"/>
          </w:tcPr>
          <w:p w14:paraId="7A898507"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 </w:t>
            </w:r>
          </w:p>
        </w:tc>
        <w:tc>
          <w:tcPr>
            <w:tcW w:w="1645" w:type="dxa"/>
            <w:shd w:val="clear" w:color="auto" w:fill="auto"/>
            <w:vAlign w:val="bottom"/>
          </w:tcPr>
          <w:p w14:paraId="08C16923" w14:textId="77777777" w:rsidR="00127040" w:rsidRPr="002E17FD" w:rsidRDefault="00127040" w:rsidP="00873FF7">
            <w:pPr>
              <w:spacing w:after="0" w:line="20" w:lineRule="atLeast"/>
              <w:ind w:left="1"/>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 </w:t>
            </w:r>
          </w:p>
        </w:tc>
      </w:tr>
      <w:tr w:rsidR="00127040" w:rsidRPr="002E17FD" w14:paraId="222B85A1" w14:textId="77777777" w:rsidTr="00BC70B2">
        <w:trPr>
          <w:trHeight w:val="516"/>
        </w:trPr>
        <w:tc>
          <w:tcPr>
            <w:tcW w:w="2041" w:type="dxa"/>
            <w:shd w:val="clear" w:color="auto" w:fill="auto"/>
          </w:tcPr>
          <w:p w14:paraId="1E2FEA18"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Медиана (95 % </w:t>
            </w:r>
          </w:p>
          <w:p w14:paraId="2F345131"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ДИ: </w:t>
            </w:r>
          </w:p>
        </w:tc>
        <w:tc>
          <w:tcPr>
            <w:tcW w:w="2127" w:type="dxa"/>
            <w:gridSpan w:val="2"/>
            <w:shd w:val="clear" w:color="auto" w:fill="auto"/>
            <w:vAlign w:val="center"/>
          </w:tcPr>
          <w:p w14:paraId="051BA0AB" w14:textId="70FD8EDA" w:rsidR="00127040" w:rsidRPr="002E17FD" w:rsidRDefault="00127040" w:rsidP="00506C46">
            <w:pPr>
              <w:spacing w:after="0" w:line="20" w:lineRule="atLeast"/>
              <w:ind w:right="54"/>
              <w:jc w:val="center"/>
              <w:rPr>
                <w:rFonts w:ascii="Times New Roman" w:eastAsia="Times New Roman" w:hAnsi="Times New Roman"/>
                <w:sz w:val="24"/>
                <w:szCs w:val="24"/>
              </w:rPr>
            </w:pPr>
            <w:r w:rsidRPr="002E17FD">
              <w:rPr>
                <w:rFonts w:ascii="Times New Roman" w:eastAsia="Times New Roman" w:hAnsi="Times New Roman"/>
                <w:sz w:val="24"/>
                <w:szCs w:val="24"/>
                <w:lang w:val="ru"/>
              </w:rPr>
              <w:t>6,6 (5,7; 8,1)</w:t>
            </w:r>
          </w:p>
        </w:tc>
        <w:tc>
          <w:tcPr>
            <w:tcW w:w="1502" w:type="dxa"/>
            <w:shd w:val="clear" w:color="auto" w:fill="auto"/>
            <w:vAlign w:val="center"/>
          </w:tcPr>
          <w:p w14:paraId="0FEF67C3" w14:textId="4A5E3B07" w:rsidR="00127040" w:rsidRPr="002E17FD" w:rsidRDefault="00127040" w:rsidP="00506C46">
            <w:pPr>
              <w:spacing w:after="0" w:line="20" w:lineRule="atLeast"/>
              <w:ind w:right="54"/>
              <w:jc w:val="center"/>
              <w:rPr>
                <w:rFonts w:ascii="Times New Roman" w:eastAsia="Times New Roman" w:hAnsi="Times New Roman"/>
                <w:sz w:val="24"/>
                <w:szCs w:val="24"/>
              </w:rPr>
            </w:pPr>
            <w:r w:rsidRPr="002E17FD">
              <w:rPr>
                <w:rFonts w:ascii="Times New Roman" w:eastAsia="Times New Roman" w:hAnsi="Times New Roman"/>
                <w:sz w:val="24"/>
                <w:szCs w:val="24"/>
                <w:lang w:val="ru"/>
              </w:rPr>
              <w:t>8,0 (6,1; 8,9)</w:t>
            </w:r>
          </w:p>
        </w:tc>
        <w:tc>
          <w:tcPr>
            <w:tcW w:w="1701" w:type="dxa"/>
            <w:shd w:val="clear" w:color="auto" w:fill="auto"/>
            <w:vAlign w:val="center"/>
          </w:tcPr>
          <w:p w14:paraId="6E6C5AAF" w14:textId="60646523" w:rsidR="00127040" w:rsidRPr="002E17FD" w:rsidRDefault="00127040" w:rsidP="00506C46">
            <w:pPr>
              <w:spacing w:after="0" w:line="20" w:lineRule="atLeast"/>
              <w:ind w:right="58"/>
              <w:jc w:val="center"/>
              <w:rPr>
                <w:rFonts w:ascii="Times New Roman" w:eastAsia="Times New Roman" w:hAnsi="Times New Roman"/>
                <w:sz w:val="24"/>
                <w:szCs w:val="24"/>
              </w:rPr>
            </w:pPr>
            <w:r w:rsidRPr="002E17FD">
              <w:rPr>
                <w:rFonts w:ascii="Times New Roman" w:eastAsia="Times New Roman" w:hAnsi="Times New Roman"/>
                <w:sz w:val="24"/>
                <w:szCs w:val="24"/>
                <w:lang w:val="ru"/>
              </w:rPr>
              <w:t>22,7 (19,.5; -)</w:t>
            </w:r>
          </w:p>
        </w:tc>
        <w:tc>
          <w:tcPr>
            <w:tcW w:w="1645" w:type="dxa"/>
            <w:shd w:val="clear" w:color="auto" w:fill="auto"/>
            <w:vAlign w:val="center"/>
          </w:tcPr>
          <w:p w14:paraId="4DDFEA47" w14:textId="7BDCCAFE" w:rsidR="00127040" w:rsidRPr="002E17FD" w:rsidRDefault="00127040" w:rsidP="00506C46">
            <w:pPr>
              <w:spacing w:after="0" w:line="20" w:lineRule="atLeast"/>
              <w:ind w:right="58"/>
              <w:jc w:val="center"/>
              <w:rPr>
                <w:rFonts w:ascii="Times New Roman" w:eastAsia="Times New Roman" w:hAnsi="Times New Roman"/>
                <w:sz w:val="24"/>
                <w:szCs w:val="24"/>
              </w:rPr>
            </w:pPr>
            <w:r w:rsidRPr="002E17FD">
              <w:rPr>
                <w:rFonts w:ascii="Times New Roman" w:eastAsia="Times New Roman" w:hAnsi="Times New Roman"/>
                <w:sz w:val="24"/>
                <w:szCs w:val="24"/>
                <w:lang w:val="ru"/>
              </w:rPr>
              <w:t>27,3 (23,7; -)</w:t>
            </w:r>
          </w:p>
        </w:tc>
      </w:tr>
      <w:tr w:rsidR="00127040" w:rsidRPr="002E17FD" w14:paraId="0DB7DD59" w14:textId="77777777" w:rsidTr="00BC70B2">
        <w:trPr>
          <w:trHeight w:val="768"/>
        </w:trPr>
        <w:tc>
          <w:tcPr>
            <w:tcW w:w="2041" w:type="dxa"/>
            <w:shd w:val="clear" w:color="auto" w:fill="auto"/>
          </w:tcPr>
          <w:p w14:paraId="7AB2312D" w14:textId="4397474B" w:rsidR="00127040" w:rsidRPr="002E17FD" w:rsidRDefault="00127040" w:rsidP="00506C46">
            <w:pPr>
              <w:spacing w:after="0" w:line="20" w:lineRule="atLeast"/>
              <w:jc w:val="both"/>
              <w:rPr>
                <w:rFonts w:ascii="Times New Roman" w:eastAsia="Times New Roman" w:hAnsi="Times New Roman"/>
                <w:sz w:val="24"/>
                <w:szCs w:val="24"/>
                <w:lang w:val="en-US"/>
              </w:rPr>
            </w:pPr>
            <w:r w:rsidRPr="002E17FD">
              <w:rPr>
                <w:rFonts w:ascii="Times New Roman" w:eastAsia="Times New Roman" w:hAnsi="Times New Roman"/>
                <w:b/>
                <w:bCs/>
                <w:sz w:val="24"/>
                <w:szCs w:val="24"/>
                <w:lang w:val="ru"/>
              </w:rPr>
              <w:t>Стратифицированное отношение рисков</w:t>
            </w:r>
            <w:r w:rsidR="00506C46" w:rsidRPr="002E17FD">
              <w:rPr>
                <w:rFonts w:ascii="Times New Roman" w:eastAsia="Times New Roman" w:hAnsi="Times New Roman"/>
                <w:b/>
                <w:bCs/>
                <w:sz w:val="24"/>
                <w:szCs w:val="24"/>
                <w:vertAlign w:val="superscript"/>
                <w:lang w:val="en-US"/>
              </w:rPr>
              <w:t>b</w:t>
            </w:r>
          </w:p>
        </w:tc>
        <w:tc>
          <w:tcPr>
            <w:tcW w:w="3629" w:type="dxa"/>
            <w:gridSpan w:val="3"/>
            <w:shd w:val="clear" w:color="auto" w:fill="auto"/>
          </w:tcPr>
          <w:p w14:paraId="21157453"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 </w:t>
            </w:r>
          </w:p>
        </w:tc>
        <w:tc>
          <w:tcPr>
            <w:tcW w:w="3346" w:type="dxa"/>
            <w:gridSpan w:val="2"/>
            <w:shd w:val="clear" w:color="auto" w:fill="auto"/>
          </w:tcPr>
          <w:p w14:paraId="4F1C5A0F"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 </w:t>
            </w:r>
          </w:p>
        </w:tc>
      </w:tr>
      <w:tr w:rsidR="00127040" w:rsidRPr="002E17FD" w14:paraId="01D6CC0B" w14:textId="77777777" w:rsidTr="00BC70B2">
        <w:trPr>
          <w:trHeight w:val="264"/>
        </w:trPr>
        <w:tc>
          <w:tcPr>
            <w:tcW w:w="2041" w:type="dxa"/>
            <w:shd w:val="clear" w:color="auto" w:fill="auto"/>
          </w:tcPr>
          <w:p w14:paraId="61B36863" w14:textId="77777777" w:rsidR="00127040" w:rsidRPr="002E17FD" w:rsidRDefault="00127040" w:rsidP="00873FF7">
            <w:pPr>
              <w:spacing w:after="0" w:line="20" w:lineRule="atLeast"/>
              <w:ind w:left="14"/>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Соотношение рисков (95% CI) </w:t>
            </w:r>
          </w:p>
        </w:tc>
        <w:tc>
          <w:tcPr>
            <w:tcW w:w="3629" w:type="dxa"/>
            <w:gridSpan w:val="3"/>
            <w:shd w:val="clear" w:color="auto" w:fill="auto"/>
          </w:tcPr>
          <w:p w14:paraId="3AB87BA0" w14:textId="7CC21107" w:rsidR="00127040" w:rsidRPr="002E17FD" w:rsidRDefault="00127040" w:rsidP="00506C46">
            <w:pPr>
              <w:spacing w:after="0" w:line="20" w:lineRule="atLeast"/>
              <w:ind w:right="56"/>
              <w:jc w:val="center"/>
              <w:rPr>
                <w:rFonts w:ascii="Times New Roman" w:eastAsia="Times New Roman" w:hAnsi="Times New Roman"/>
                <w:sz w:val="24"/>
                <w:szCs w:val="24"/>
              </w:rPr>
            </w:pPr>
            <w:r w:rsidRPr="002E17FD">
              <w:rPr>
                <w:rFonts w:ascii="Times New Roman" w:eastAsia="Times New Roman" w:hAnsi="Times New Roman"/>
                <w:sz w:val="24"/>
                <w:szCs w:val="24"/>
                <w:lang w:val="ru"/>
              </w:rPr>
              <w:t>1,30 (1,04; 1,64)</w:t>
            </w:r>
          </w:p>
        </w:tc>
        <w:tc>
          <w:tcPr>
            <w:tcW w:w="3346" w:type="dxa"/>
            <w:gridSpan w:val="2"/>
            <w:shd w:val="clear" w:color="auto" w:fill="auto"/>
          </w:tcPr>
          <w:p w14:paraId="526B84E9" w14:textId="3C14473C" w:rsidR="00127040" w:rsidRPr="002E17FD" w:rsidRDefault="00127040" w:rsidP="00506C46">
            <w:pPr>
              <w:spacing w:after="0" w:line="20" w:lineRule="atLeast"/>
              <w:ind w:right="57"/>
              <w:jc w:val="center"/>
              <w:rPr>
                <w:rFonts w:ascii="Times New Roman" w:eastAsia="Times New Roman" w:hAnsi="Times New Roman"/>
                <w:sz w:val="24"/>
                <w:szCs w:val="24"/>
              </w:rPr>
            </w:pPr>
            <w:r w:rsidRPr="002E17FD">
              <w:rPr>
                <w:rFonts w:ascii="Times New Roman" w:eastAsia="Times New Roman" w:hAnsi="Times New Roman"/>
                <w:sz w:val="24"/>
                <w:szCs w:val="24"/>
                <w:lang w:val="ru"/>
              </w:rPr>
              <w:t>1,34 (0,95; 1,90)</w:t>
            </w:r>
          </w:p>
        </w:tc>
      </w:tr>
      <w:tr w:rsidR="00127040" w:rsidRPr="002E17FD" w14:paraId="37C8DB8A" w14:textId="77777777" w:rsidTr="00BC70B2">
        <w:trPr>
          <w:trHeight w:val="264"/>
        </w:trPr>
        <w:tc>
          <w:tcPr>
            <w:tcW w:w="2041" w:type="dxa"/>
            <w:shd w:val="clear" w:color="auto" w:fill="auto"/>
          </w:tcPr>
          <w:p w14:paraId="285E7CF7" w14:textId="77777777" w:rsidR="00127040" w:rsidRPr="002E17FD" w:rsidRDefault="00127040" w:rsidP="00873FF7">
            <w:pPr>
              <w:spacing w:after="0" w:line="20" w:lineRule="atLeast"/>
              <w:ind w:left="14"/>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р-значение </w:t>
            </w:r>
          </w:p>
        </w:tc>
        <w:tc>
          <w:tcPr>
            <w:tcW w:w="3629" w:type="dxa"/>
            <w:gridSpan w:val="3"/>
            <w:shd w:val="clear" w:color="auto" w:fill="auto"/>
          </w:tcPr>
          <w:p w14:paraId="4BECE7B3" w14:textId="67576DC7" w:rsidR="00127040" w:rsidRPr="002E17FD" w:rsidRDefault="00127040" w:rsidP="00506C46">
            <w:pPr>
              <w:spacing w:after="0" w:line="20" w:lineRule="atLeast"/>
              <w:ind w:right="52"/>
              <w:jc w:val="center"/>
              <w:rPr>
                <w:rFonts w:ascii="Times New Roman" w:eastAsia="Times New Roman" w:hAnsi="Times New Roman"/>
                <w:sz w:val="24"/>
                <w:szCs w:val="24"/>
              </w:rPr>
            </w:pPr>
            <w:r w:rsidRPr="002E17FD">
              <w:rPr>
                <w:rFonts w:ascii="Times New Roman" w:eastAsia="Times New Roman" w:hAnsi="Times New Roman"/>
                <w:sz w:val="24"/>
                <w:szCs w:val="24"/>
                <w:lang w:val="ru"/>
              </w:rPr>
              <w:t>0,021</w:t>
            </w:r>
          </w:p>
        </w:tc>
        <w:tc>
          <w:tcPr>
            <w:tcW w:w="3346" w:type="dxa"/>
            <w:gridSpan w:val="2"/>
            <w:shd w:val="clear" w:color="auto" w:fill="auto"/>
          </w:tcPr>
          <w:p w14:paraId="5A8191F2" w14:textId="4B49BFFF" w:rsidR="00127040" w:rsidRPr="002E17FD" w:rsidRDefault="00127040" w:rsidP="00506C46">
            <w:pPr>
              <w:spacing w:after="0" w:line="20" w:lineRule="atLeast"/>
              <w:ind w:right="53"/>
              <w:jc w:val="center"/>
              <w:rPr>
                <w:rFonts w:ascii="Times New Roman" w:eastAsia="Times New Roman" w:hAnsi="Times New Roman"/>
                <w:sz w:val="24"/>
                <w:szCs w:val="24"/>
              </w:rPr>
            </w:pPr>
            <w:r w:rsidRPr="002E17FD">
              <w:rPr>
                <w:rFonts w:ascii="Times New Roman" w:eastAsia="Times New Roman" w:hAnsi="Times New Roman"/>
                <w:sz w:val="24"/>
                <w:szCs w:val="24"/>
                <w:lang w:val="ru"/>
              </w:rPr>
              <w:t>0,095</w:t>
            </w:r>
          </w:p>
        </w:tc>
      </w:tr>
      <w:tr w:rsidR="00127040" w:rsidRPr="002E17FD" w14:paraId="68C7E2EA" w14:textId="77777777" w:rsidTr="00BC70B2">
        <w:trPr>
          <w:trHeight w:val="262"/>
        </w:trPr>
        <w:tc>
          <w:tcPr>
            <w:tcW w:w="9016" w:type="dxa"/>
            <w:gridSpan w:val="6"/>
            <w:shd w:val="clear" w:color="auto" w:fill="auto"/>
          </w:tcPr>
          <w:p w14:paraId="2F9B02D1"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Пациенты, которые предварительно получали трастузумаб * </w:t>
            </w:r>
          </w:p>
        </w:tc>
      </w:tr>
      <w:tr w:rsidR="00127040" w:rsidRPr="002E17FD" w14:paraId="1BC73285" w14:textId="77777777" w:rsidTr="00BC70B2">
        <w:trPr>
          <w:trHeight w:val="264"/>
        </w:trPr>
        <w:tc>
          <w:tcPr>
            <w:tcW w:w="2041" w:type="dxa"/>
            <w:shd w:val="clear" w:color="auto" w:fill="auto"/>
          </w:tcPr>
          <w:p w14:paraId="575926CA"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N </w:t>
            </w:r>
          </w:p>
        </w:tc>
        <w:tc>
          <w:tcPr>
            <w:tcW w:w="2127" w:type="dxa"/>
            <w:gridSpan w:val="2"/>
            <w:shd w:val="clear" w:color="auto" w:fill="auto"/>
          </w:tcPr>
          <w:p w14:paraId="1231EFEC" w14:textId="201B6AD3" w:rsidR="00127040" w:rsidRPr="002E17FD" w:rsidRDefault="00127040" w:rsidP="00BC70B2">
            <w:pPr>
              <w:spacing w:after="0" w:line="20" w:lineRule="atLeast"/>
              <w:ind w:right="56"/>
              <w:rPr>
                <w:rFonts w:ascii="Times New Roman" w:eastAsia="Times New Roman" w:hAnsi="Times New Roman"/>
                <w:sz w:val="24"/>
                <w:szCs w:val="24"/>
              </w:rPr>
            </w:pPr>
            <w:r w:rsidRPr="002E17FD">
              <w:rPr>
                <w:rFonts w:ascii="Times New Roman" w:eastAsia="Times New Roman" w:hAnsi="Times New Roman"/>
                <w:sz w:val="24"/>
                <w:szCs w:val="24"/>
                <w:lang w:val="ru"/>
              </w:rPr>
              <w:t>167</w:t>
            </w:r>
          </w:p>
        </w:tc>
        <w:tc>
          <w:tcPr>
            <w:tcW w:w="1502" w:type="dxa"/>
            <w:shd w:val="clear" w:color="auto" w:fill="auto"/>
          </w:tcPr>
          <w:p w14:paraId="20CDF0BA" w14:textId="56DDD9F9" w:rsidR="00127040" w:rsidRPr="002E17FD" w:rsidRDefault="00127040" w:rsidP="00BC70B2">
            <w:pPr>
              <w:spacing w:after="0" w:line="20" w:lineRule="atLeast"/>
              <w:ind w:right="55"/>
              <w:rPr>
                <w:rFonts w:ascii="Times New Roman" w:eastAsia="Times New Roman" w:hAnsi="Times New Roman"/>
                <w:sz w:val="24"/>
                <w:szCs w:val="24"/>
              </w:rPr>
            </w:pPr>
            <w:r w:rsidRPr="002E17FD">
              <w:rPr>
                <w:rFonts w:ascii="Times New Roman" w:eastAsia="Times New Roman" w:hAnsi="Times New Roman"/>
                <w:sz w:val="24"/>
                <w:szCs w:val="24"/>
                <w:lang w:val="ru"/>
              </w:rPr>
              <w:t>159</w:t>
            </w:r>
          </w:p>
        </w:tc>
        <w:tc>
          <w:tcPr>
            <w:tcW w:w="1701" w:type="dxa"/>
            <w:shd w:val="clear" w:color="auto" w:fill="auto"/>
          </w:tcPr>
          <w:p w14:paraId="1798C7B2" w14:textId="654F1B84" w:rsidR="00127040" w:rsidRPr="002E17FD" w:rsidRDefault="00127040" w:rsidP="00BC70B2">
            <w:pPr>
              <w:spacing w:after="0" w:line="20" w:lineRule="atLeast"/>
              <w:ind w:right="55"/>
              <w:rPr>
                <w:rFonts w:ascii="Times New Roman" w:eastAsia="Times New Roman" w:hAnsi="Times New Roman"/>
                <w:sz w:val="24"/>
                <w:szCs w:val="24"/>
              </w:rPr>
            </w:pPr>
            <w:r w:rsidRPr="002E17FD">
              <w:rPr>
                <w:rFonts w:ascii="Times New Roman" w:eastAsia="Times New Roman" w:hAnsi="Times New Roman"/>
                <w:sz w:val="24"/>
                <w:szCs w:val="24"/>
                <w:lang w:val="ru"/>
              </w:rPr>
              <w:t>167</w:t>
            </w:r>
          </w:p>
        </w:tc>
        <w:tc>
          <w:tcPr>
            <w:tcW w:w="1645" w:type="dxa"/>
            <w:shd w:val="clear" w:color="auto" w:fill="auto"/>
          </w:tcPr>
          <w:p w14:paraId="5B31AD03" w14:textId="0A37BDDB" w:rsidR="00127040" w:rsidRPr="002E17FD" w:rsidRDefault="00127040" w:rsidP="00BC70B2">
            <w:pPr>
              <w:spacing w:after="0" w:line="20" w:lineRule="atLeast"/>
              <w:ind w:right="54"/>
              <w:rPr>
                <w:rFonts w:ascii="Times New Roman" w:eastAsia="Times New Roman" w:hAnsi="Times New Roman"/>
                <w:sz w:val="24"/>
                <w:szCs w:val="24"/>
              </w:rPr>
            </w:pPr>
            <w:r w:rsidRPr="002E17FD">
              <w:rPr>
                <w:rFonts w:ascii="Times New Roman" w:eastAsia="Times New Roman" w:hAnsi="Times New Roman"/>
                <w:sz w:val="24"/>
                <w:szCs w:val="24"/>
                <w:lang w:val="ru"/>
              </w:rPr>
              <w:t>159</w:t>
            </w:r>
          </w:p>
        </w:tc>
      </w:tr>
      <w:tr w:rsidR="00127040" w:rsidRPr="002E17FD" w14:paraId="535B3670" w14:textId="77777777" w:rsidTr="00BC70B2">
        <w:trPr>
          <w:trHeight w:val="516"/>
        </w:trPr>
        <w:tc>
          <w:tcPr>
            <w:tcW w:w="2041" w:type="dxa"/>
            <w:shd w:val="clear" w:color="auto" w:fill="auto"/>
          </w:tcPr>
          <w:p w14:paraId="43E9D768"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Количество (%) с осложнением </w:t>
            </w:r>
            <w:r w:rsidRPr="002E17FD">
              <w:rPr>
                <w:rFonts w:ascii="Times New Roman" w:eastAsia="Times New Roman" w:hAnsi="Times New Roman"/>
                <w:sz w:val="24"/>
                <w:szCs w:val="24"/>
                <w:vertAlign w:val="superscript"/>
                <w:lang w:val="ru"/>
              </w:rPr>
              <w:t xml:space="preserve">1 </w:t>
            </w:r>
          </w:p>
        </w:tc>
        <w:tc>
          <w:tcPr>
            <w:tcW w:w="2127" w:type="dxa"/>
            <w:gridSpan w:val="2"/>
            <w:shd w:val="clear" w:color="auto" w:fill="auto"/>
          </w:tcPr>
          <w:p w14:paraId="7CF9885E" w14:textId="17FFFD93" w:rsidR="00127040" w:rsidRPr="002E17FD" w:rsidRDefault="00127040" w:rsidP="00BC70B2">
            <w:pPr>
              <w:spacing w:after="0" w:line="20" w:lineRule="atLeast"/>
              <w:ind w:right="57"/>
              <w:rPr>
                <w:rFonts w:ascii="Times New Roman" w:eastAsia="Times New Roman" w:hAnsi="Times New Roman"/>
                <w:sz w:val="24"/>
                <w:szCs w:val="24"/>
              </w:rPr>
            </w:pPr>
            <w:r w:rsidRPr="002E17FD">
              <w:rPr>
                <w:rFonts w:ascii="Times New Roman" w:eastAsia="Times New Roman" w:hAnsi="Times New Roman"/>
                <w:sz w:val="24"/>
                <w:szCs w:val="24"/>
                <w:lang w:val="ru"/>
              </w:rPr>
              <w:t>103 (62)</w:t>
            </w:r>
          </w:p>
        </w:tc>
        <w:tc>
          <w:tcPr>
            <w:tcW w:w="1502" w:type="dxa"/>
            <w:shd w:val="clear" w:color="auto" w:fill="auto"/>
          </w:tcPr>
          <w:p w14:paraId="0BF18B51" w14:textId="52AFBB41" w:rsidR="00127040" w:rsidRPr="002E17FD" w:rsidRDefault="00127040" w:rsidP="00BC70B2">
            <w:pPr>
              <w:spacing w:after="0" w:line="20" w:lineRule="atLeast"/>
              <w:ind w:right="56"/>
              <w:rPr>
                <w:rFonts w:ascii="Times New Roman" w:eastAsia="Times New Roman" w:hAnsi="Times New Roman"/>
                <w:sz w:val="24"/>
                <w:szCs w:val="24"/>
              </w:rPr>
            </w:pPr>
            <w:r w:rsidRPr="002E17FD">
              <w:rPr>
                <w:rFonts w:ascii="Times New Roman" w:eastAsia="Times New Roman" w:hAnsi="Times New Roman"/>
                <w:sz w:val="24"/>
                <w:szCs w:val="24"/>
                <w:lang w:val="ru"/>
              </w:rPr>
              <w:t>86 (54)</w:t>
            </w:r>
          </w:p>
        </w:tc>
        <w:tc>
          <w:tcPr>
            <w:tcW w:w="1701" w:type="dxa"/>
            <w:shd w:val="clear" w:color="auto" w:fill="auto"/>
          </w:tcPr>
          <w:p w14:paraId="4C7A5DFE" w14:textId="26DF731E" w:rsidR="00127040" w:rsidRPr="002E17FD" w:rsidRDefault="00127040" w:rsidP="00BC70B2">
            <w:pPr>
              <w:spacing w:after="0" w:line="20" w:lineRule="atLeast"/>
              <w:ind w:right="56"/>
              <w:rPr>
                <w:rFonts w:ascii="Times New Roman" w:eastAsia="Times New Roman" w:hAnsi="Times New Roman"/>
                <w:sz w:val="24"/>
                <w:szCs w:val="24"/>
              </w:rPr>
            </w:pPr>
            <w:r w:rsidRPr="002E17FD">
              <w:rPr>
                <w:rFonts w:ascii="Times New Roman" w:eastAsia="Times New Roman" w:hAnsi="Times New Roman"/>
                <w:sz w:val="24"/>
                <w:szCs w:val="24"/>
                <w:lang w:val="ru"/>
              </w:rPr>
              <w:t>43 (26)</w:t>
            </w:r>
          </w:p>
        </w:tc>
        <w:tc>
          <w:tcPr>
            <w:tcW w:w="1645" w:type="dxa"/>
            <w:shd w:val="clear" w:color="auto" w:fill="auto"/>
          </w:tcPr>
          <w:p w14:paraId="0D74C2A0" w14:textId="177B25DF" w:rsidR="00127040" w:rsidRPr="002E17FD" w:rsidRDefault="00127040" w:rsidP="00BC70B2">
            <w:pPr>
              <w:spacing w:after="0" w:line="20" w:lineRule="atLeast"/>
              <w:ind w:right="55"/>
              <w:rPr>
                <w:rFonts w:ascii="Times New Roman" w:eastAsia="Times New Roman" w:hAnsi="Times New Roman"/>
                <w:sz w:val="24"/>
                <w:szCs w:val="24"/>
              </w:rPr>
            </w:pPr>
            <w:r w:rsidRPr="002E17FD">
              <w:rPr>
                <w:rFonts w:ascii="Times New Roman" w:eastAsia="Times New Roman" w:hAnsi="Times New Roman"/>
                <w:sz w:val="24"/>
                <w:szCs w:val="24"/>
                <w:lang w:val="ru"/>
              </w:rPr>
              <w:t>38 (24)</w:t>
            </w:r>
          </w:p>
        </w:tc>
      </w:tr>
      <w:tr w:rsidR="00127040" w:rsidRPr="002E17FD" w14:paraId="60AFD975" w14:textId="77777777" w:rsidTr="00BC70B2">
        <w:trPr>
          <w:trHeight w:val="517"/>
        </w:trPr>
        <w:tc>
          <w:tcPr>
            <w:tcW w:w="2041" w:type="dxa"/>
            <w:shd w:val="clear" w:color="auto" w:fill="auto"/>
          </w:tcPr>
          <w:p w14:paraId="6D443702"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Медиана (95 % </w:t>
            </w:r>
          </w:p>
          <w:p w14:paraId="6CFF3D23"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ДИ: </w:t>
            </w:r>
          </w:p>
        </w:tc>
        <w:tc>
          <w:tcPr>
            <w:tcW w:w="2127" w:type="dxa"/>
            <w:gridSpan w:val="2"/>
            <w:shd w:val="clear" w:color="auto" w:fill="auto"/>
          </w:tcPr>
          <w:p w14:paraId="16D959D5" w14:textId="3AAF9810" w:rsidR="00127040" w:rsidRPr="002E17FD" w:rsidRDefault="00127040" w:rsidP="00BC70B2">
            <w:pPr>
              <w:spacing w:after="0" w:line="20" w:lineRule="atLeast"/>
              <w:ind w:right="54"/>
              <w:rPr>
                <w:rFonts w:ascii="Times New Roman" w:eastAsia="Times New Roman" w:hAnsi="Times New Roman"/>
                <w:sz w:val="24"/>
                <w:szCs w:val="24"/>
              </w:rPr>
            </w:pPr>
            <w:r w:rsidRPr="002E17FD">
              <w:rPr>
                <w:rFonts w:ascii="Times New Roman" w:eastAsia="Times New Roman" w:hAnsi="Times New Roman"/>
                <w:sz w:val="24"/>
                <w:szCs w:val="24"/>
                <w:lang w:val="ru"/>
              </w:rPr>
              <w:t>6,6 (5,7; 8,3)</w:t>
            </w:r>
          </w:p>
        </w:tc>
        <w:tc>
          <w:tcPr>
            <w:tcW w:w="1502" w:type="dxa"/>
            <w:shd w:val="clear" w:color="auto" w:fill="auto"/>
          </w:tcPr>
          <w:p w14:paraId="2B580C6F" w14:textId="7D69636B" w:rsidR="00127040" w:rsidRPr="002E17FD" w:rsidRDefault="00127040" w:rsidP="00BC70B2">
            <w:pPr>
              <w:spacing w:after="0" w:line="20" w:lineRule="atLeast"/>
              <w:ind w:right="54"/>
              <w:rPr>
                <w:rFonts w:ascii="Times New Roman" w:eastAsia="Times New Roman" w:hAnsi="Times New Roman"/>
                <w:sz w:val="24"/>
                <w:szCs w:val="24"/>
              </w:rPr>
            </w:pPr>
            <w:r w:rsidRPr="002E17FD">
              <w:rPr>
                <w:rFonts w:ascii="Times New Roman" w:eastAsia="Times New Roman" w:hAnsi="Times New Roman"/>
                <w:sz w:val="24"/>
                <w:szCs w:val="24"/>
                <w:lang w:val="ru"/>
              </w:rPr>
              <w:t>6,1 (5,7; 8,0)</w:t>
            </w:r>
          </w:p>
        </w:tc>
        <w:tc>
          <w:tcPr>
            <w:tcW w:w="1701" w:type="dxa"/>
            <w:shd w:val="clear" w:color="auto" w:fill="auto"/>
            <w:vAlign w:val="center"/>
          </w:tcPr>
          <w:p w14:paraId="6BE1BFCF" w14:textId="65500968" w:rsidR="00127040" w:rsidRPr="002E17FD" w:rsidRDefault="00127040" w:rsidP="00BC70B2">
            <w:pPr>
              <w:spacing w:after="0" w:line="20" w:lineRule="atLeast"/>
              <w:ind w:right="56"/>
              <w:rPr>
                <w:rFonts w:ascii="Times New Roman" w:eastAsia="Times New Roman" w:hAnsi="Times New Roman"/>
                <w:sz w:val="24"/>
                <w:szCs w:val="24"/>
              </w:rPr>
            </w:pPr>
            <w:r w:rsidRPr="002E17FD">
              <w:rPr>
                <w:rFonts w:ascii="Times New Roman" w:eastAsia="Times New Roman" w:hAnsi="Times New Roman"/>
                <w:sz w:val="24"/>
                <w:szCs w:val="24"/>
                <w:lang w:val="ru"/>
              </w:rPr>
              <w:t>22,7 (20,1; -)</w:t>
            </w:r>
          </w:p>
        </w:tc>
        <w:tc>
          <w:tcPr>
            <w:tcW w:w="1645" w:type="dxa"/>
            <w:shd w:val="clear" w:color="auto" w:fill="auto"/>
            <w:vAlign w:val="center"/>
          </w:tcPr>
          <w:p w14:paraId="4E885EF6" w14:textId="6A688F09" w:rsidR="00127040" w:rsidRPr="002E17FD" w:rsidRDefault="00127040" w:rsidP="00BC70B2">
            <w:pPr>
              <w:spacing w:after="0" w:line="20" w:lineRule="atLeast"/>
              <w:ind w:right="56"/>
              <w:rPr>
                <w:rFonts w:ascii="Times New Roman" w:eastAsia="Times New Roman" w:hAnsi="Times New Roman"/>
                <w:sz w:val="24"/>
                <w:szCs w:val="24"/>
              </w:rPr>
            </w:pPr>
            <w:r w:rsidRPr="002E17FD">
              <w:rPr>
                <w:rFonts w:ascii="Times New Roman" w:eastAsia="Times New Roman" w:hAnsi="Times New Roman"/>
                <w:sz w:val="24"/>
                <w:szCs w:val="24"/>
                <w:lang w:val="ru"/>
              </w:rPr>
              <w:t>27,3 (22,5; 33,6)</w:t>
            </w:r>
          </w:p>
        </w:tc>
      </w:tr>
      <w:tr w:rsidR="00127040" w:rsidRPr="002E17FD" w14:paraId="3F9E2985" w14:textId="77777777" w:rsidTr="00BC70B2">
        <w:trPr>
          <w:trHeight w:val="262"/>
        </w:trPr>
        <w:tc>
          <w:tcPr>
            <w:tcW w:w="2041" w:type="dxa"/>
            <w:shd w:val="clear" w:color="auto" w:fill="auto"/>
          </w:tcPr>
          <w:p w14:paraId="55365264" w14:textId="77777777" w:rsidR="00127040" w:rsidRPr="002E17FD" w:rsidRDefault="00127040" w:rsidP="00873FF7">
            <w:pPr>
              <w:spacing w:after="0" w:line="20" w:lineRule="atLeast"/>
              <w:ind w:left="14"/>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Соотношение рисков (95% CI) </w:t>
            </w:r>
          </w:p>
        </w:tc>
        <w:tc>
          <w:tcPr>
            <w:tcW w:w="3629" w:type="dxa"/>
            <w:gridSpan w:val="3"/>
            <w:shd w:val="clear" w:color="auto" w:fill="auto"/>
            <w:vAlign w:val="center"/>
          </w:tcPr>
          <w:p w14:paraId="2003ADF5" w14:textId="4F17F642" w:rsidR="00127040" w:rsidRPr="002E17FD" w:rsidRDefault="00127040" w:rsidP="00BC70B2">
            <w:pPr>
              <w:spacing w:after="0" w:line="20" w:lineRule="atLeast"/>
              <w:ind w:right="56"/>
              <w:rPr>
                <w:rFonts w:ascii="Times New Roman" w:eastAsia="Times New Roman" w:hAnsi="Times New Roman"/>
                <w:sz w:val="24"/>
                <w:szCs w:val="24"/>
              </w:rPr>
            </w:pPr>
            <w:r w:rsidRPr="002E17FD">
              <w:rPr>
                <w:rFonts w:ascii="Times New Roman" w:eastAsia="Times New Roman" w:hAnsi="Times New Roman"/>
                <w:sz w:val="24"/>
                <w:szCs w:val="24"/>
                <w:lang w:val="ru"/>
              </w:rPr>
              <w:t>1,13 (0,85; 1,50)</w:t>
            </w:r>
          </w:p>
        </w:tc>
        <w:tc>
          <w:tcPr>
            <w:tcW w:w="3346" w:type="dxa"/>
            <w:gridSpan w:val="2"/>
            <w:shd w:val="clear" w:color="auto" w:fill="auto"/>
            <w:vAlign w:val="center"/>
          </w:tcPr>
          <w:p w14:paraId="48354B7F" w14:textId="4A85CDDF" w:rsidR="00127040" w:rsidRPr="002E17FD" w:rsidRDefault="00127040" w:rsidP="00BC70B2">
            <w:pPr>
              <w:spacing w:after="0" w:line="20" w:lineRule="atLeast"/>
              <w:ind w:right="57"/>
              <w:rPr>
                <w:rFonts w:ascii="Times New Roman" w:eastAsia="Times New Roman" w:hAnsi="Times New Roman"/>
                <w:sz w:val="24"/>
                <w:szCs w:val="24"/>
              </w:rPr>
            </w:pPr>
            <w:r w:rsidRPr="002E17FD">
              <w:rPr>
                <w:rFonts w:ascii="Times New Roman" w:eastAsia="Times New Roman" w:hAnsi="Times New Roman"/>
                <w:sz w:val="24"/>
                <w:szCs w:val="24"/>
                <w:lang w:val="ru"/>
              </w:rPr>
              <w:t>1,18 (0,76; 1,83)</w:t>
            </w:r>
          </w:p>
        </w:tc>
      </w:tr>
      <w:tr w:rsidR="00127040" w:rsidRPr="002E17FD" w14:paraId="1F362AB3" w14:textId="77777777" w:rsidTr="00BC70B2">
        <w:trPr>
          <w:trHeight w:val="286"/>
        </w:trPr>
        <w:tc>
          <w:tcPr>
            <w:tcW w:w="9016" w:type="dxa"/>
            <w:gridSpan w:val="6"/>
            <w:shd w:val="clear" w:color="auto" w:fill="auto"/>
          </w:tcPr>
          <w:p w14:paraId="31AB99C0"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Пациенты, которые предварительно не получали трастузумаб * </w:t>
            </w:r>
          </w:p>
        </w:tc>
      </w:tr>
      <w:tr w:rsidR="00127040" w:rsidRPr="002E17FD" w14:paraId="75E516CE" w14:textId="77777777" w:rsidTr="00BC70B2">
        <w:trPr>
          <w:trHeight w:val="264"/>
        </w:trPr>
        <w:tc>
          <w:tcPr>
            <w:tcW w:w="2041" w:type="dxa"/>
            <w:shd w:val="clear" w:color="auto" w:fill="auto"/>
          </w:tcPr>
          <w:p w14:paraId="7C10E798"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N </w:t>
            </w:r>
          </w:p>
        </w:tc>
        <w:tc>
          <w:tcPr>
            <w:tcW w:w="2127" w:type="dxa"/>
            <w:gridSpan w:val="2"/>
            <w:shd w:val="clear" w:color="auto" w:fill="auto"/>
            <w:vAlign w:val="center"/>
          </w:tcPr>
          <w:p w14:paraId="2F91B8DE" w14:textId="484440DC" w:rsidR="00127040" w:rsidRPr="002E17FD" w:rsidRDefault="00127040" w:rsidP="00506C46">
            <w:pPr>
              <w:spacing w:after="0" w:line="20" w:lineRule="atLeast"/>
              <w:ind w:right="56"/>
              <w:jc w:val="center"/>
              <w:rPr>
                <w:rFonts w:ascii="Times New Roman" w:eastAsia="Times New Roman" w:hAnsi="Times New Roman"/>
                <w:sz w:val="24"/>
                <w:szCs w:val="24"/>
              </w:rPr>
            </w:pPr>
            <w:r w:rsidRPr="002E17FD">
              <w:rPr>
                <w:rFonts w:ascii="Times New Roman" w:eastAsia="Times New Roman" w:hAnsi="Times New Roman"/>
                <w:sz w:val="24"/>
                <w:szCs w:val="24"/>
                <w:lang w:val="ru"/>
              </w:rPr>
              <w:t>104</w:t>
            </w:r>
          </w:p>
        </w:tc>
        <w:tc>
          <w:tcPr>
            <w:tcW w:w="1502" w:type="dxa"/>
            <w:shd w:val="clear" w:color="auto" w:fill="auto"/>
            <w:vAlign w:val="center"/>
          </w:tcPr>
          <w:p w14:paraId="046DDFDD" w14:textId="7D7903AC" w:rsidR="00127040" w:rsidRPr="002E17FD" w:rsidRDefault="00127040" w:rsidP="00506C46">
            <w:pPr>
              <w:spacing w:after="0" w:line="20" w:lineRule="atLeast"/>
              <w:ind w:right="55"/>
              <w:jc w:val="center"/>
              <w:rPr>
                <w:rFonts w:ascii="Times New Roman" w:eastAsia="Times New Roman" w:hAnsi="Times New Roman"/>
                <w:sz w:val="24"/>
                <w:szCs w:val="24"/>
              </w:rPr>
            </w:pPr>
            <w:r w:rsidRPr="002E17FD">
              <w:rPr>
                <w:rFonts w:ascii="Times New Roman" w:eastAsia="Times New Roman" w:hAnsi="Times New Roman"/>
                <w:sz w:val="24"/>
                <w:szCs w:val="24"/>
                <w:lang w:val="ru"/>
              </w:rPr>
              <w:t>110</w:t>
            </w:r>
          </w:p>
        </w:tc>
        <w:tc>
          <w:tcPr>
            <w:tcW w:w="1701" w:type="dxa"/>
            <w:shd w:val="clear" w:color="auto" w:fill="auto"/>
            <w:vAlign w:val="center"/>
          </w:tcPr>
          <w:p w14:paraId="0631D224" w14:textId="268ECFD4" w:rsidR="00127040" w:rsidRPr="002E17FD" w:rsidRDefault="00127040" w:rsidP="00506C46">
            <w:pPr>
              <w:spacing w:after="0" w:line="20" w:lineRule="atLeast"/>
              <w:ind w:right="55"/>
              <w:jc w:val="center"/>
              <w:rPr>
                <w:rFonts w:ascii="Times New Roman" w:eastAsia="Times New Roman" w:hAnsi="Times New Roman"/>
                <w:sz w:val="24"/>
                <w:szCs w:val="24"/>
              </w:rPr>
            </w:pPr>
            <w:r w:rsidRPr="002E17FD">
              <w:rPr>
                <w:rFonts w:ascii="Times New Roman" w:eastAsia="Times New Roman" w:hAnsi="Times New Roman"/>
                <w:sz w:val="24"/>
                <w:szCs w:val="24"/>
                <w:lang w:val="ru"/>
              </w:rPr>
              <w:t>104</w:t>
            </w:r>
          </w:p>
        </w:tc>
        <w:tc>
          <w:tcPr>
            <w:tcW w:w="1645" w:type="dxa"/>
            <w:shd w:val="clear" w:color="auto" w:fill="auto"/>
            <w:vAlign w:val="center"/>
          </w:tcPr>
          <w:p w14:paraId="4057730A" w14:textId="4FC7B2AF" w:rsidR="00127040" w:rsidRPr="002E17FD" w:rsidRDefault="00127040" w:rsidP="00506C46">
            <w:pPr>
              <w:spacing w:after="0" w:line="20" w:lineRule="atLeast"/>
              <w:ind w:right="54"/>
              <w:jc w:val="center"/>
              <w:rPr>
                <w:rFonts w:ascii="Times New Roman" w:eastAsia="Times New Roman" w:hAnsi="Times New Roman"/>
                <w:sz w:val="24"/>
                <w:szCs w:val="24"/>
              </w:rPr>
            </w:pPr>
            <w:r w:rsidRPr="002E17FD">
              <w:rPr>
                <w:rFonts w:ascii="Times New Roman" w:eastAsia="Times New Roman" w:hAnsi="Times New Roman"/>
                <w:sz w:val="24"/>
                <w:szCs w:val="24"/>
                <w:lang w:val="ru"/>
              </w:rPr>
              <w:t>110</w:t>
            </w:r>
          </w:p>
        </w:tc>
      </w:tr>
      <w:tr w:rsidR="00127040" w:rsidRPr="002E17FD" w14:paraId="28EAD7B6" w14:textId="77777777" w:rsidTr="00BC70B2">
        <w:trPr>
          <w:trHeight w:val="516"/>
        </w:trPr>
        <w:tc>
          <w:tcPr>
            <w:tcW w:w="2041" w:type="dxa"/>
            <w:shd w:val="clear" w:color="auto" w:fill="auto"/>
          </w:tcPr>
          <w:p w14:paraId="70A8C44F"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Количество (%) с осложнением </w:t>
            </w:r>
            <w:r w:rsidRPr="002E17FD">
              <w:rPr>
                <w:rFonts w:ascii="Times New Roman" w:eastAsia="Times New Roman" w:hAnsi="Times New Roman"/>
                <w:sz w:val="24"/>
                <w:szCs w:val="24"/>
                <w:vertAlign w:val="superscript"/>
                <w:lang w:val="ru"/>
              </w:rPr>
              <w:t xml:space="preserve">1 </w:t>
            </w:r>
          </w:p>
        </w:tc>
        <w:tc>
          <w:tcPr>
            <w:tcW w:w="2127" w:type="dxa"/>
            <w:gridSpan w:val="2"/>
            <w:shd w:val="clear" w:color="auto" w:fill="auto"/>
            <w:vAlign w:val="center"/>
          </w:tcPr>
          <w:p w14:paraId="1580050F" w14:textId="3B1EC608" w:rsidR="00127040" w:rsidRPr="002E17FD" w:rsidRDefault="00127040" w:rsidP="00506C46">
            <w:pPr>
              <w:spacing w:after="0" w:line="20" w:lineRule="atLeast"/>
              <w:ind w:right="57"/>
              <w:jc w:val="center"/>
              <w:rPr>
                <w:rFonts w:ascii="Times New Roman" w:eastAsia="Times New Roman" w:hAnsi="Times New Roman"/>
                <w:sz w:val="24"/>
                <w:szCs w:val="24"/>
              </w:rPr>
            </w:pPr>
            <w:r w:rsidRPr="002E17FD">
              <w:rPr>
                <w:rFonts w:ascii="Times New Roman" w:eastAsia="Times New Roman" w:hAnsi="Times New Roman"/>
                <w:sz w:val="24"/>
                <w:szCs w:val="24"/>
                <w:lang w:val="ru"/>
              </w:rPr>
              <w:t>57 (55)</w:t>
            </w:r>
          </w:p>
        </w:tc>
        <w:tc>
          <w:tcPr>
            <w:tcW w:w="1502" w:type="dxa"/>
            <w:shd w:val="clear" w:color="auto" w:fill="auto"/>
            <w:vAlign w:val="center"/>
          </w:tcPr>
          <w:p w14:paraId="6B4EDBC0" w14:textId="269FEE4F" w:rsidR="00127040" w:rsidRPr="002E17FD" w:rsidRDefault="00127040" w:rsidP="00506C46">
            <w:pPr>
              <w:spacing w:after="0" w:line="20" w:lineRule="atLeast"/>
              <w:ind w:right="56"/>
              <w:jc w:val="center"/>
              <w:rPr>
                <w:rFonts w:ascii="Times New Roman" w:eastAsia="Times New Roman" w:hAnsi="Times New Roman"/>
                <w:sz w:val="24"/>
                <w:szCs w:val="24"/>
              </w:rPr>
            </w:pPr>
            <w:r w:rsidRPr="002E17FD">
              <w:rPr>
                <w:rFonts w:ascii="Times New Roman" w:eastAsia="Times New Roman" w:hAnsi="Times New Roman"/>
                <w:sz w:val="24"/>
                <w:szCs w:val="24"/>
                <w:lang w:val="ru"/>
              </w:rPr>
              <w:t>48 (44)</w:t>
            </w:r>
          </w:p>
        </w:tc>
        <w:tc>
          <w:tcPr>
            <w:tcW w:w="1701" w:type="dxa"/>
            <w:shd w:val="clear" w:color="auto" w:fill="auto"/>
            <w:vAlign w:val="center"/>
          </w:tcPr>
          <w:p w14:paraId="4B5143A5" w14:textId="60861886" w:rsidR="00127040" w:rsidRPr="002E17FD" w:rsidRDefault="00127040" w:rsidP="00506C46">
            <w:pPr>
              <w:spacing w:after="0" w:line="20" w:lineRule="atLeast"/>
              <w:ind w:right="56"/>
              <w:jc w:val="center"/>
              <w:rPr>
                <w:rFonts w:ascii="Times New Roman" w:eastAsia="Times New Roman" w:hAnsi="Times New Roman"/>
                <w:sz w:val="24"/>
                <w:szCs w:val="24"/>
              </w:rPr>
            </w:pPr>
            <w:r w:rsidRPr="002E17FD">
              <w:rPr>
                <w:rFonts w:ascii="Times New Roman" w:eastAsia="Times New Roman" w:hAnsi="Times New Roman"/>
                <w:sz w:val="24"/>
                <w:szCs w:val="24"/>
                <w:lang w:val="ru"/>
              </w:rPr>
              <w:t>27 (26)</w:t>
            </w:r>
          </w:p>
        </w:tc>
        <w:tc>
          <w:tcPr>
            <w:tcW w:w="1645" w:type="dxa"/>
            <w:shd w:val="clear" w:color="auto" w:fill="auto"/>
            <w:vAlign w:val="center"/>
          </w:tcPr>
          <w:p w14:paraId="079CE431" w14:textId="1367C5FE" w:rsidR="00127040" w:rsidRPr="002E17FD" w:rsidRDefault="00127040" w:rsidP="00506C46">
            <w:pPr>
              <w:spacing w:after="0" w:line="20" w:lineRule="atLeast"/>
              <w:ind w:right="55"/>
              <w:jc w:val="center"/>
              <w:rPr>
                <w:rFonts w:ascii="Times New Roman" w:eastAsia="Times New Roman" w:hAnsi="Times New Roman"/>
                <w:sz w:val="24"/>
                <w:szCs w:val="24"/>
              </w:rPr>
            </w:pPr>
            <w:r w:rsidRPr="002E17FD">
              <w:rPr>
                <w:rFonts w:ascii="Times New Roman" w:eastAsia="Times New Roman" w:hAnsi="Times New Roman"/>
                <w:sz w:val="24"/>
                <w:szCs w:val="24"/>
                <w:lang w:val="ru"/>
              </w:rPr>
              <w:t>20 (18)</w:t>
            </w:r>
          </w:p>
        </w:tc>
      </w:tr>
      <w:tr w:rsidR="00127040" w:rsidRPr="002E17FD" w14:paraId="156C2E00" w14:textId="77777777" w:rsidTr="00BC70B2">
        <w:trPr>
          <w:trHeight w:val="516"/>
        </w:trPr>
        <w:tc>
          <w:tcPr>
            <w:tcW w:w="2041" w:type="dxa"/>
            <w:shd w:val="clear" w:color="auto" w:fill="auto"/>
          </w:tcPr>
          <w:p w14:paraId="54622587"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Медиана (95 % </w:t>
            </w:r>
          </w:p>
          <w:p w14:paraId="54467FA9"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ДИ: </w:t>
            </w:r>
          </w:p>
        </w:tc>
        <w:tc>
          <w:tcPr>
            <w:tcW w:w="2127" w:type="dxa"/>
            <w:gridSpan w:val="2"/>
            <w:shd w:val="clear" w:color="auto" w:fill="auto"/>
            <w:vAlign w:val="center"/>
          </w:tcPr>
          <w:p w14:paraId="2F9C6B82" w14:textId="0F2357AD" w:rsidR="00127040" w:rsidRPr="002E17FD" w:rsidRDefault="00127040" w:rsidP="00506C46">
            <w:pPr>
              <w:spacing w:after="0" w:line="20" w:lineRule="atLeast"/>
              <w:ind w:right="54"/>
              <w:jc w:val="center"/>
              <w:rPr>
                <w:rFonts w:ascii="Times New Roman" w:eastAsia="Times New Roman" w:hAnsi="Times New Roman"/>
                <w:sz w:val="24"/>
                <w:szCs w:val="24"/>
              </w:rPr>
            </w:pPr>
            <w:r w:rsidRPr="002E17FD">
              <w:rPr>
                <w:rFonts w:ascii="Times New Roman" w:eastAsia="Times New Roman" w:hAnsi="Times New Roman"/>
                <w:sz w:val="24"/>
                <w:szCs w:val="24"/>
                <w:lang w:val="ru"/>
              </w:rPr>
              <w:t>6,3 (5,6; 8,1)</w:t>
            </w:r>
          </w:p>
        </w:tc>
        <w:tc>
          <w:tcPr>
            <w:tcW w:w="1502" w:type="dxa"/>
            <w:shd w:val="clear" w:color="auto" w:fill="auto"/>
            <w:vAlign w:val="center"/>
          </w:tcPr>
          <w:p w14:paraId="1ED53065" w14:textId="59E73660" w:rsidR="00127040" w:rsidRPr="002E17FD" w:rsidRDefault="00127040" w:rsidP="00506C46">
            <w:pPr>
              <w:spacing w:after="0" w:line="20" w:lineRule="atLeast"/>
              <w:ind w:right="57"/>
              <w:jc w:val="center"/>
              <w:rPr>
                <w:rFonts w:ascii="Times New Roman" w:eastAsia="Times New Roman" w:hAnsi="Times New Roman"/>
                <w:sz w:val="24"/>
                <w:szCs w:val="24"/>
              </w:rPr>
            </w:pPr>
            <w:r w:rsidRPr="002E17FD">
              <w:rPr>
                <w:rFonts w:ascii="Times New Roman" w:eastAsia="Times New Roman" w:hAnsi="Times New Roman"/>
                <w:sz w:val="24"/>
                <w:szCs w:val="24"/>
                <w:lang w:val="ru"/>
              </w:rPr>
              <w:t>10,9 (8,3; 15,0)</w:t>
            </w:r>
          </w:p>
        </w:tc>
        <w:tc>
          <w:tcPr>
            <w:tcW w:w="1701" w:type="dxa"/>
            <w:shd w:val="clear" w:color="auto" w:fill="auto"/>
            <w:vAlign w:val="center"/>
          </w:tcPr>
          <w:p w14:paraId="73AE682F" w14:textId="161DF95D" w:rsidR="00127040" w:rsidRPr="002E17FD" w:rsidRDefault="00127040" w:rsidP="00506C46">
            <w:pPr>
              <w:spacing w:after="0" w:line="20" w:lineRule="atLeast"/>
              <w:ind w:right="56"/>
              <w:jc w:val="center"/>
              <w:rPr>
                <w:rFonts w:ascii="Times New Roman" w:eastAsia="Times New Roman" w:hAnsi="Times New Roman"/>
                <w:sz w:val="24"/>
                <w:szCs w:val="24"/>
              </w:rPr>
            </w:pPr>
            <w:r w:rsidRPr="002E17FD">
              <w:rPr>
                <w:rFonts w:ascii="Times New Roman" w:eastAsia="Times New Roman" w:hAnsi="Times New Roman"/>
                <w:sz w:val="24"/>
                <w:szCs w:val="24"/>
                <w:lang w:val="ru"/>
              </w:rPr>
              <w:t>NE</w:t>
            </w:r>
            <w:r w:rsidRPr="002E17FD">
              <w:rPr>
                <w:rFonts w:ascii="Times New Roman" w:eastAsia="Times New Roman" w:hAnsi="Times New Roman"/>
                <w:sz w:val="24"/>
                <w:szCs w:val="24"/>
                <w:vertAlign w:val="superscript"/>
                <w:lang w:val="ru"/>
              </w:rPr>
              <w:t xml:space="preserve">2 </w:t>
            </w:r>
            <w:r w:rsidRPr="002E17FD">
              <w:rPr>
                <w:rFonts w:ascii="Times New Roman" w:eastAsia="Times New Roman" w:hAnsi="Times New Roman"/>
                <w:sz w:val="24"/>
                <w:szCs w:val="24"/>
                <w:lang w:val="ru"/>
              </w:rPr>
              <w:t>(14,6, -)</w:t>
            </w:r>
          </w:p>
        </w:tc>
        <w:tc>
          <w:tcPr>
            <w:tcW w:w="1645" w:type="dxa"/>
            <w:shd w:val="clear" w:color="auto" w:fill="auto"/>
            <w:vAlign w:val="center"/>
          </w:tcPr>
          <w:p w14:paraId="04DFB695" w14:textId="16F41B43" w:rsidR="00127040" w:rsidRPr="002E17FD" w:rsidRDefault="00127040" w:rsidP="00506C46">
            <w:pPr>
              <w:spacing w:after="0" w:line="20" w:lineRule="atLeast"/>
              <w:ind w:right="55"/>
              <w:jc w:val="center"/>
              <w:rPr>
                <w:rFonts w:ascii="Times New Roman" w:eastAsia="Times New Roman" w:hAnsi="Times New Roman"/>
                <w:sz w:val="24"/>
                <w:szCs w:val="24"/>
              </w:rPr>
            </w:pPr>
            <w:r w:rsidRPr="002E17FD">
              <w:rPr>
                <w:rFonts w:ascii="Times New Roman" w:eastAsia="Times New Roman" w:hAnsi="Times New Roman"/>
                <w:sz w:val="24"/>
                <w:szCs w:val="24"/>
                <w:lang w:val="ru"/>
              </w:rPr>
              <w:t>NE</w:t>
            </w:r>
            <w:r w:rsidRPr="002E17FD">
              <w:rPr>
                <w:rFonts w:ascii="Times New Roman" w:eastAsia="Times New Roman" w:hAnsi="Times New Roman"/>
                <w:sz w:val="24"/>
                <w:szCs w:val="24"/>
                <w:vertAlign w:val="superscript"/>
                <w:lang w:val="ru"/>
              </w:rPr>
              <w:t xml:space="preserve">2 </w:t>
            </w:r>
            <w:r w:rsidRPr="002E17FD">
              <w:rPr>
                <w:rFonts w:ascii="Times New Roman" w:eastAsia="Times New Roman" w:hAnsi="Times New Roman"/>
                <w:sz w:val="24"/>
                <w:szCs w:val="24"/>
                <w:lang w:val="ru"/>
              </w:rPr>
              <w:t>(21,6, -)</w:t>
            </w:r>
          </w:p>
        </w:tc>
      </w:tr>
      <w:tr w:rsidR="00127040" w:rsidRPr="002E17FD" w14:paraId="10017871" w14:textId="77777777" w:rsidTr="00BC70B2">
        <w:trPr>
          <w:trHeight w:val="264"/>
        </w:trPr>
        <w:tc>
          <w:tcPr>
            <w:tcW w:w="2041" w:type="dxa"/>
            <w:shd w:val="clear" w:color="auto" w:fill="auto"/>
          </w:tcPr>
          <w:p w14:paraId="722D6E7E" w14:textId="77777777" w:rsidR="00127040" w:rsidRPr="002E17FD" w:rsidRDefault="00127040" w:rsidP="00873FF7">
            <w:pPr>
              <w:spacing w:after="0" w:line="20" w:lineRule="atLeast"/>
              <w:ind w:left="14"/>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Соотношение рисков (95% CI) </w:t>
            </w:r>
          </w:p>
        </w:tc>
        <w:tc>
          <w:tcPr>
            <w:tcW w:w="3629" w:type="dxa"/>
            <w:gridSpan w:val="3"/>
            <w:shd w:val="clear" w:color="auto" w:fill="auto"/>
            <w:vAlign w:val="center"/>
          </w:tcPr>
          <w:p w14:paraId="53F4D654" w14:textId="2DC68ED7" w:rsidR="00127040" w:rsidRPr="002E17FD" w:rsidRDefault="00127040" w:rsidP="00506C46">
            <w:pPr>
              <w:spacing w:after="0" w:line="20" w:lineRule="atLeast"/>
              <w:ind w:right="56"/>
              <w:jc w:val="center"/>
              <w:rPr>
                <w:rFonts w:ascii="Times New Roman" w:eastAsia="Times New Roman" w:hAnsi="Times New Roman"/>
                <w:sz w:val="24"/>
                <w:szCs w:val="24"/>
              </w:rPr>
            </w:pPr>
            <w:r w:rsidRPr="002E17FD">
              <w:rPr>
                <w:rFonts w:ascii="Times New Roman" w:eastAsia="Times New Roman" w:hAnsi="Times New Roman"/>
                <w:sz w:val="24"/>
                <w:szCs w:val="24"/>
                <w:lang w:val="ru"/>
              </w:rPr>
              <w:t>1,70 (1,15; 2,50)</w:t>
            </w:r>
          </w:p>
        </w:tc>
        <w:tc>
          <w:tcPr>
            <w:tcW w:w="3346" w:type="dxa"/>
            <w:gridSpan w:val="2"/>
            <w:shd w:val="clear" w:color="auto" w:fill="auto"/>
            <w:vAlign w:val="center"/>
          </w:tcPr>
          <w:p w14:paraId="72CF2669" w14:textId="35629C1B" w:rsidR="00127040" w:rsidRPr="002E17FD" w:rsidRDefault="00127040" w:rsidP="00506C46">
            <w:pPr>
              <w:spacing w:after="0" w:line="20" w:lineRule="atLeast"/>
              <w:ind w:left="318"/>
              <w:jc w:val="center"/>
              <w:rPr>
                <w:rFonts w:ascii="Times New Roman" w:eastAsia="Times New Roman" w:hAnsi="Times New Roman"/>
                <w:sz w:val="24"/>
                <w:szCs w:val="24"/>
              </w:rPr>
            </w:pPr>
            <w:r w:rsidRPr="002E17FD">
              <w:rPr>
                <w:rFonts w:ascii="Times New Roman" w:eastAsia="Times New Roman" w:hAnsi="Times New Roman"/>
                <w:sz w:val="24"/>
                <w:szCs w:val="24"/>
                <w:lang w:val="ru"/>
              </w:rPr>
              <w:t>1,67 (0,94; 2,96)</w:t>
            </w:r>
          </w:p>
        </w:tc>
      </w:tr>
      <w:tr w:rsidR="00127040" w:rsidRPr="002E17FD" w14:paraId="603F7618" w14:textId="77777777" w:rsidTr="00BC70B2">
        <w:trPr>
          <w:trHeight w:val="1118"/>
        </w:trPr>
        <w:tc>
          <w:tcPr>
            <w:tcW w:w="9016" w:type="dxa"/>
            <w:gridSpan w:val="6"/>
            <w:shd w:val="clear" w:color="auto" w:fill="auto"/>
          </w:tcPr>
          <w:p w14:paraId="237648EA"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CI - доверительный интервал </w:t>
            </w:r>
          </w:p>
          <w:p w14:paraId="0BD805E3" w14:textId="77777777" w:rsidR="00127040" w:rsidRPr="002E17FD" w:rsidRDefault="00127040" w:rsidP="00873FF7">
            <w:pPr>
              <w:numPr>
                <w:ilvl w:val="0"/>
                <w:numId w:val="27"/>
              </w:num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Выживаемость без прогрессирования определялась как время от рандомизации до даты прогрессирования заболевания или смерти по любой причине, в зависимости от того, что произойдет ранее, или до даты оценки. </w:t>
            </w:r>
          </w:p>
          <w:p w14:paraId="796696E0" w14:textId="77777777" w:rsidR="00127040" w:rsidRPr="002E17FD" w:rsidRDefault="00127040" w:rsidP="00873FF7">
            <w:pPr>
              <w:numPr>
                <w:ilvl w:val="0"/>
                <w:numId w:val="27"/>
              </w:num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lastRenderedPageBreak/>
              <w:t xml:space="preserve">Оценка Пайка соотношения риска лечения &lt;1 указывает на низкий риск применения </w:t>
            </w:r>
            <w:r w:rsidR="00C25238" w:rsidRPr="002E17FD">
              <w:rPr>
                <w:rFonts w:ascii="Times New Roman" w:eastAsia="Times New Roman" w:hAnsi="Times New Roman"/>
                <w:sz w:val="24"/>
                <w:szCs w:val="24"/>
                <w:lang w:val="ru"/>
              </w:rPr>
              <w:t>л</w:t>
            </w:r>
            <w:r w:rsidR="0027259D" w:rsidRPr="002E17FD">
              <w:rPr>
                <w:rFonts w:ascii="Times New Roman" w:eastAsia="Times New Roman" w:hAnsi="Times New Roman"/>
                <w:sz w:val="24"/>
                <w:szCs w:val="24"/>
                <w:lang w:val="ru"/>
              </w:rPr>
              <w:t>а</w:t>
            </w:r>
            <w:r w:rsidR="00C25238" w:rsidRPr="002E17FD">
              <w:rPr>
                <w:rFonts w:ascii="Times New Roman" w:eastAsia="Times New Roman" w:hAnsi="Times New Roman"/>
                <w:sz w:val="24"/>
                <w:szCs w:val="24"/>
                <w:lang w:val="ru"/>
              </w:rPr>
              <w:t>патиниба</w:t>
            </w:r>
            <w:r w:rsidRPr="002E17FD">
              <w:rPr>
                <w:rFonts w:ascii="Times New Roman" w:eastAsia="Times New Roman" w:hAnsi="Times New Roman"/>
                <w:sz w:val="24"/>
                <w:szCs w:val="24"/>
                <w:lang w:val="ru"/>
              </w:rPr>
              <w:t xml:space="preserve"> в сочетании с капецитабином по сравнению с применением трастузумаба в сочетании с капецитабином. </w:t>
            </w:r>
          </w:p>
          <w:p w14:paraId="6FB6FF2A" w14:textId="230B9505" w:rsidR="00127040" w:rsidRPr="002E17FD" w:rsidRDefault="00127040" w:rsidP="00873FF7">
            <w:pPr>
              <w:numPr>
                <w:ilvl w:val="0"/>
                <w:numId w:val="28"/>
              </w:numPr>
              <w:spacing w:after="0" w:line="20" w:lineRule="atLeast"/>
              <w:ind w:right="306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Случай выживаемости без прогрессирования -это прогрессирование или смерть, а случай общей выживаемости - это смерть по любой причине. </w:t>
            </w:r>
          </w:p>
          <w:p w14:paraId="142EE869" w14:textId="77777777" w:rsidR="00506C46" w:rsidRPr="002E17FD" w:rsidRDefault="00127040" w:rsidP="00873FF7">
            <w:pPr>
              <w:numPr>
                <w:ilvl w:val="0"/>
                <w:numId w:val="28"/>
              </w:numPr>
              <w:spacing w:after="0" w:line="20" w:lineRule="atLeast"/>
              <w:ind w:right="306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NE = медиана не достигнута. </w:t>
            </w:r>
          </w:p>
          <w:p w14:paraId="5A67EEC2" w14:textId="2CD5767A" w:rsidR="00127040" w:rsidRPr="002E17FD" w:rsidRDefault="00127040" w:rsidP="00506C46">
            <w:pPr>
              <w:spacing w:after="0" w:line="20" w:lineRule="atLeast"/>
              <w:ind w:left="2" w:right="3062"/>
              <w:jc w:val="both"/>
              <w:rPr>
                <w:rFonts w:ascii="Times New Roman" w:eastAsia="Times New Roman" w:hAnsi="Times New Roman"/>
                <w:sz w:val="24"/>
                <w:szCs w:val="24"/>
              </w:rPr>
            </w:pPr>
            <w:r w:rsidRPr="002E17FD">
              <w:rPr>
                <w:rFonts w:ascii="Times New Roman" w:eastAsia="Times New Roman" w:hAnsi="Times New Roman"/>
                <w:sz w:val="24"/>
                <w:szCs w:val="24"/>
                <w:lang w:val="ru"/>
              </w:rPr>
              <w:t>* Ретроспективный анализ</w:t>
            </w:r>
            <w:r w:rsidRPr="002E17FD">
              <w:rPr>
                <w:rFonts w:ascii="Times New Roman" w:eastAsia="Times New Roman" w:hAnsi="Times New Roman"/>
                <w:i/>
                <w:iCs/>
                <w:sz w:val="24"/>
                <w:szCs w:val="24"/>
                <w:lang w:val="ru"/>
              </w:rPr>
              <w:t xml:space="preserve"> </w:t>
            </w:r>
          </w:p>
        </w:tc>
      </w:tr>
    </w:tbl>
    <w:p w14:paraId="7DA26CF4" w14:textId="77777777" w:rsidR="00127040" w:rsidRPr="002E17FD" w:rsidRDefault="00127040" w:rsidP="00FA5BCA">
      <w:pPr>
        <w:spacing w:after="0" w:line="20" w:lineRule="atLeast"/>
        <w:ind w:right="7"/>
        <w:jc w:val="both"/>
        <w:rPr>
          <w:rFonts w:ascii="Times New Roman" w:hAnsi="Times New Roman"/>
          <w:sz w:val="24"/>
          <w:szCs w:val="24"/>
          <w:u w:val="single"/>
          <w:lang w:val="ru"/>
        </w:rPr>
      </w:pPr>
      <w:r w:rsidRPr="002E17FD">
        <w:rPr>
          <w:rFonts w:ascii="Times New Roman" w:hAnsi="Times New Roman"/>
          <w:i/>
          <w:iCs/>
          <w:sz w:val="24"/>
          <w:szCs w:val="24"/>
          <w:u w:val="single"/>
          <w:lang w:val="ru"/>
        </w:rPr>
        <w:lastRenderedPageBreak/>
        <w:t xml:space="preserve">Сочетанное применение </w:t>
      </w:r>
      <w:r w:rsidR="00FA5BCA" w:rsidRPr="002E17FD">
        <w:rPr>
          <w:rFonts w:ascii="Times New Roman" w:hAnsi="Times New Roman"/>
          <w:i/>
          <w:iCs/>
          <w:sz w:val="24"/>
          <w:szCs w:val="24"/>
          <w:u w:val="single"/>
          <w:lang w:val="ru"/>
        </w:rPr>
        <w:t>л</w:t>
      </w:r>
      <w:r w:rsidR="0013336C" w:rsidRPr="002E17FD">
        <w:rPr>
          <w:rFonts w:ascii="Times New Roman" w:hAnsi="Times New Roman"/>
          <w:i/>
          <w:iCs/>
          <w:sz w:val="24"/>
          <w:szCs w:val="24"/>
          <w:u w:val="single"/>
          <w:lang w:val="ru"/>
        </w:rPr>
        <w:t>апатиниба</w:t>
      </w:r>
      <w:r w:rsidRPr="002E17FD">
        <w:rPr>
          <w:rFonts w:ascii="Times New Roman" w:hAnsi="Times New Roman"/>
          <w:i/>
          <w:iCs/>
          <w:sz w:val="24"/>
          <w:szCs w:val="24"/>
          <w:u w:val="single"/>
          <w:lang w:val="ru"/>
        </w:rPr>
        <w:t xml:space="preserve"> и трастузумаба </w:t>
      </w:r>
    </w:p>
    <w:p w14:paraId="5B3ABE9B" w14:textId="77777777" w:rsidR="00127040" w:rsidRPr="002E17FD" w:rsidRDefault="00127040" w:rsidP="00127040">
      <w:pPr>
        <w:spacing w:after="0" w:line="20" w:lineRule="atLeast"/>
        <w:ind w:left="-5" w:right="7"/>
        <w:jc w:val="both"/>
        <w:rPr>
          <w:rFonts w:ascii="Times New Roman" w:hAnsi="Times New Roman"/>
          <w:sz w:val="24"/>
          <w:szCs w:val="24"/>
          <w:lang w:val="ru"/>
        </w:rPr>
      </w:pPr>
      <w:r w:rsidRPr="002E17FD">
        <w:rPr>
          <w:rFonts w:ascii="Times New Roman" w:hAnsi="Times New Roman"/>
          <w:sz w:val="24"/>
          <w:szCs w:val="24"/>
          <w:lang w:val="ru"/>
        </w:rPr>
        <w:t xml:space="preserve">В рандомизированном исследовании были оценены эффективность и безопасность применения лапатиниба в сочетании с трастузумабом для лечения метастатического рака молочной железы. Пациентами, подходящими для участия в исследовании, были женщины с метастатическим раком молочной железы IV стадии, амплифицированным геном ErbB2 (или со сверхэкспрессией белка), которые прошли лечение антрациклинами и таксанами. Кроме того, согласно протоколу сообщалось о пациентах, которые имели прогрессирование заболевания в результате недавней терапии метастатических форм рака, содержащей трастузумаб. Среднее количество предварительных схем лечения, содержащих трастузумаб - три. Пациенты были отобраны в случайном порядке для получения либо 1,000 мг лапатиниба один раз в день в сочетании с трастузумабом 4 мг/кг, принимаемыми в качестве внутривенной насыщающей дозы с последующим приемом 2 мг/кг внутривенно еженедельно (N=148), либо 1,500 мг лапатиниба перорально один раз в день (N=148). Пациенты с объективным прогрессированием заболевания после получения лапатиниба в качестве монотерапии в течение, по крайней мере, 4 недель были переведены на комбинированную терапию. Из 148 пациентов, получавших лечение в качестве монотерапии, 77 (52%) пациентов выбрали комбинированное лечение в момент прогрессирования заболевания. </w:t>
      </w:r>
    </w:p>
    <w:p w14:paraId="77AF24C9" w14:textId="77777777" w:rsidR="00127040" w:rsidRPr="002E17FD" w:rsidRDefault="00127040" w:rsidP="00FD2C38">
      <w:pPr>
        <w:spacing w:after="0" w:line="20" w:lineRule="atLeast"/>
        <w:ind w:left="-5" w:right="7"/>
        <w:jc w:val="both"/>
        <w:rPr>
          <w:rFonts w:ascii="Times New Roman" w:hAnsi="Times New Roman"/>
          <w:sz w:val="24"/>
          <w:szCs w:val="24"/>
          <w:lang w:val="ru"/>
        </w:rPr>
      </w:pPr>
      <w:r w:rsidRPr="002E17FD">
        <w:rPr>
          <w:rFonts w:ascii="Times New Roman" w:hAnsi="Times New Roman"/>
          <w:sz w:val="24"/>
          <w:szCs w:val="24"/>
          <w:lang w:val="ru"/>
        </w:rPr>
        <w:t>Выживаемость без прогрессирования была основным конечным показателем исследования с частотой случаев объективного ответа и общей выживаемостью в качестве вспомогательных конечных показателей. Средний возраст составлял 51 год, и 13% были в возрасте 65 лет и старше. 94% (девяносто четыре процента) составляли лица кавказской расы. Большинство пациентов в обоих группах лечения имели висцеральное заболевание (в общей сложности 215 [73%] пациентов). Кроме того, 150 [50%] пациентов имели отрицательное значение рецептора гормона. Сводная информация о критериях эффективности и данные по общей выживаемости представлены в Таблице 4</w:t>
      </w:r>
      <w:r w:rsidRPr="002E17FD">
        <w:rPr>
          <w:rFonts w:ascii="Times New Roman" w:hAnsi="Times New Roman"/>
          <w:color w:val="1F497D"/>
          <w:sz w:val="24"/>
          <w:szCs w:val="24"/>
          <w:lang w:val="ru"/>
        </w:rPr>
        <w:t xml:space="preserve">. </w:t>
      </w:r>
      <w:r w:rsidRPr="002E17FD">
        <w:rPr>
          <w:rFonts w:ascii="Times New Roman" w:hAnsi="Times New Roman"/>
          <w:sz w:val="24"/>
          <w:szCs w:val="24"/>
          <w:lang w:val="ru"/>
        </w:rPr>
        <w:t xml:space="preserve">Результаты анализа подгруппы на основе предварительно определенного коэффициента стратификации (статус рецептора гормона) также представлены в Таблице 5. </w:t>
      </w:r>
    </w:p>
    <w:p w14:paraId="1523231D" w14:textId="59B76E8A" w:rsidR="00127040" w:rsidRPr="002E17FD" w:rsidRDefault="00127040" w:rsidP="00BC70B2">
      <w:pPr>
        <w:spacing w:after="0" w:line="20" w:lineRule="atLeast"/>
        <w:ind w:left="-5" w:right="7"/>
        <w:jc w:val="both"/>
        <w:rPr>
          <w:rFonts w:ascii="Times New Roman" w:hAnsi="Times New Roman"/>
          <w:b/>
          <w:sz w:val="24"/>
          <w:szCs w:val="24"/>
        </w:rPr>
      </w:pPr>
      <w:r w:rsidRPr="002E17FD">
        <w:rPr>
          <w:rFonts w:ascii="Times New Roman" w:hAnsi="Times New Roman"/>
          <w:b/>
          <w:bCs/>
          <w:sz w:val="24"/>
          <w:szCs w:val="24"/>
          <w:lang w:val="ru"/>
        </w:rPr>
        <w:t>Таблица 4.</w:t>
      </w:r>
      <w:r w:rsidR="00BC70B2" w:rsidRPr="002E17FD">
        <w:rPr>
          <w:rFonts w:ascii="Times New Roman" w:hAnsi="Times New Roman"/>
          <w:b/>
          <w:bCs/>
          <w:sz w:val="24"/>
          <w:szCs w:val="24"/>
        </w:rPr>
        <w:t xml:space="preserve"> </w:t>
      </w:r>
      <w:r w:rsidRPr="002E17FD">
        <w:rPr>
          <w:rFonts w:ascii="Times New Roman" w:hAnsi="Times New Roman"/>
          <w:b/>
          <w:bCs/>
          <w:sz w:val="24"/>
          <w:szCs w:val="24"/>
          <w:lang w:val="ru"/>
        </w:rPr>
        <w:t>Данные выживаемости без прогрессирования и общей выживаемости (</w:t>
      </w:r>
      <w:r w:rsidR="00FD2C38" w:rsidRPr="002E17FD">
        <w:rPr>
          <w:rFonts w:ascii="Times New Roman" w:hAnsi="Times New Roman"/>
          <w:b/>
          <w:bCs/>
          <w:sz w:val="24"/>
          <w:szCs w:val="24"/>
          <w:lang w:val="ru"/>
        </w:rPr>
        <w:t>л</w:t>
      </w:r>
      <w:r w:rsidR="0013336C" w:rsidRPr="002E17FD">
        <w:rPr>
          <w:rFonts w:ascii="Times New Roman" w:hAnsi="Times New Roman"/>
          <w:b/>
          <w:bCs/>
          <w:sz w:val="24"/>
          <w:szCs w:val="24"/>
          <w:lang w:val="ru"/>
        </w:rPr>
        <w:t>апатиниб</w:t>
      </w:r>
      <w:r w:rsidRPr="002E17FD">
        <w:rPr>
          <w:rFonts w:ascii="Times New Roman" w:hAnsi="Times New Roman"/>
          <w:b/>
          <w:bCs/>
          <w:sz w:val="24"/>
          <w:szCs w:val="24"/>
          <w:lang w:val="ru"/>
        </w:rPr>
        <w:t xml:space="preserve"> / трастузумаб)</w:t>
      </w:r>
    </w:p>
    <w:tbl>
      <w:tblPr>
        <w:tblW w:w="9107" w:type="dxa"/>
        <w:tblInd w:w="108" w:type="dxa"/>
        <w:tblCellMar>
          <w:top w:w="7" w:type="dxa"/>
          <w:bottom w:w="5" w:type="dxa"/>
          <w:right w:w="53" w:type="dxa"/>
        </w:tblCellMar>
        <w:tblLook w:val="04A0" w:firstRow="1" w:lastRow="0" w:firstColumn="1" w:lastColumn="0" w:noHBand="0" w:noVBand="1"/>
      </w:tblPr>
      <w:tblGrid>
        <w:gridCol w:w="3579"/>
        <w:gridCol w:w="2705"/>
        <w:gridCol w:w="2823"/>
      </w:tblGrid>
      <w:tr w:rsidR="00127040" w:rsidRPr="002E17FD" w14:paraId="66203FB4" w14:textId="77777777" w:rsidTr="00873FF7">
        <w:trPr>
          <w:trHeight w:val="771"/>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0006DF30"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22ACEB23" w14:textId="77777777" w:rsidR="00127040" w:rsidRPr="002E17FD" w:rsidRDefault="00127040" w:rsidP="00873FF7">
            <w:pPr>
              <w:spacing w:after="0" w:line="20" w:lineRule="atLeast"/>
              <w:jc w:val="both"/>
              <w:rPr>
                <w:rFonts w:ascii="Times New Roman" w:eastAsia="Times New Roman" w:hAnsi="Times New Roman"/>
                <w:b/>
                <w:bCs/>
                <w:sz w:val="24"/>
                <w:szCs w:val="24"/>
                <w:lang w:val="ru"/>
              </w:rPr>
            </w:pPr>
            <w:r w:rsidRPr="002E17FD">
              <w:rPr>
                <w:rFonts w:ascii="Times New Roman" w:eastAsia="Times New Roman" w:hAnsi="Times New Roman"/>
                <w:b/>
                <w:bCs/>
                <w:sz w:val="24"/>
                <w:szCs w:val="24"/>
                <w:lang w:val="ru"/>
              </w:rPr>
              <w:t xml:space="preserve">Лапатиниб + трастузумаб </w:t>
            </w:r>
          </w:p>
          <w:p w14:paraId="5EC5681E"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(N = 148)</w:t>
            </w:r>
            <w:r w:rsidRPr="002E17FD">
              <w:rPr>
                <w:rFonts w:ascii="Times New Roman" w:eastAsia="Times New Roman" w:hAnsi="Times New Roman"/>
                <w:sz w:val="24"/>
                <w:szCs w:val="24"/>
                <w:lang w:val="ru"/>
              </w:rPr>
              <w:t xml:space="preserve"> </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383C89" w14:textId="77777777" w:rsidR="00127040" w:rsidRPr="002E17FD" w:rsidRDefault="00127040" w:rsidP="00873FF7">
            <w:pPr>
              <w:spacing w:after="0" w:line="20" w:lineRule="atLeast"/>
              <w:ind w:left="129"/>
              <w:jc w:val="both"/>
              <w:rPr>
                <w:rFonts w:ascii="Times New Roman" w:eastAsia="Times New Roman" w:hAnsi="Times New Roman"/>
                <w:b/>
                <w:bCs/>
                <w:sz w:val="24"/>
                <w:szCs w:val="24"/>
                <w:lang w:val="ru"/>
              </w:rPr>
            </w:pPr>
            <w:r w:rsidRPr="002E17FD">
              <w:rPr>
                <w:rFonts w:ascii="Times New Roman" w:eastAsia="Times New Roman" w:hAnsi="Times New Roman"/>
                <w:b/>
                <w:bCs/>
                <w:sz w:val="24"/>
                <w:szCs w:val="24"/>
                <w:lang w:val="ru"/>
              </w:rPr>
              <w:t xml:space="preserve">Лапатиниб в качестве монотерапии </w:t>
            </w:r>
          </w:p>
          <w:p w14:paraId="4677345A" w14:textId="77777777" w:rsidR="00127040" w:rsidRPr="002E17FD" w:rsidRDefault="00127040" w:rsidP="00873FF7">
            <w:pPr>
              <w:spacing w:after="0" w:line="20" w:lineRule="atLeast"/>
              <w:ind w:left="129"/>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(N = 148)</w:t>
            </w:r>
            <w:r w:rsidRPr="002E17FD">
              <w:rPr>
                <w:rFonts w:ascii="Times New Roman" w:eastAsia="Times New Roman" w:hAnsi="Times New Roman"/>
                <w:sz w:val="24"/>
                <w:szCs w:val="24"/>
                <w:lang w:val="ru"/>
              </w:rPr>
              <w:t xml:space="preserve"> </w:t>
            </w:r>
          </w:p>
        </w:tc>
      </w:tr>
      <w:tr w:rsidR="00127040" w:rsidRPr="002E17FD" w14:paraId="1CE57AB1" w14:textId="77777777" w:rsidTr="00873FF7">
        <w:trPr>
          <w:trHeight w:val="516"/>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7E38C284" w14:textId="77777777" w:rsidR="00127040" w:rsidRPr="002E17FD" w:rsidRDefault="00127040" w:rsidP="00873FF7">
            <w:pPr>
              <w:spacing w:after="0" w:line="20" w:lineRule="atLeast"/>
              <w:ind w:right="1223"/>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Медиана ВБП</w:t>
            </w:r>
            <w:r w:rsidRPr="002E17FD">
              <w:rPr>
                <w:rFonts w:ascii="Times New Roman" w:eastAsia="Times New Roman" w:hAnsi="Times New Roman"/>
                <w:b/>
                <w:bCs/>
                <w:sz w:val="24"/>
                <w:szCs w:val="24"/>
                <w:vertAlign w:val="superscript"/>
                <w:lang w:val="ru"/>
              </w:rPr>
              <w:t>1</w:t>
            </w:r>
            <w:r w:rsidRPr="002E17FD">
              <w:rPr>
                <w:rFonts w:ascii="Times New Roman" w:eastAsia="Times New Roman" w:hAnsi="Times New Roman"/>
                <w:b/>
                <w:bCs/>
                <w:sz w:val="24"/>
                <w:szCs w:val="24"/>
                <w:lang w:val="ru"/>
              </w:rPr>
              <w:t xml:space="preserve">, недель </w:t>
            </w:r>
            <w:r w:rsidRPr="002E17FD">
              <w:rPr>
                <w:rFonts w:ascii="Times New Roman" w:eastAsia="Times New Roman" w:hAnsi="Times New Roman"/>
                <w:sz w:val="24"/>
                <w:szCs w:val="24"/>
                <w:lang w:val="ru"/>
              </w:rPr>
              <w:t xml:space="preserve">(95 % ДИ)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628B31E5" w14:textId="354F1083" w:rsidR="00127040" w:rsidRPr="002E17FD" w:rsidRDefault="00127040" w:rsidP="00BC70B2">
            <w:pPr>
              <w:spacing w:after="0" w:line="20" w:lineRule="atLeast"/>
              <w:ind w:right="56"/>
              <w:rPr>
                <w:rFonts w:ascii="Times New Roman" w:eastAsia="Times New Roman" w:hAnsi="Times New Roman"/>
                <w:sz w:val="24"/>
                <w:szCs w:val="24"/>
              </w:rPr>
            </w:pPr>
            <w:r w:rsidRPr="002E17FD">
              <w:rPr>
                <w:rFonts w:ascii="Times New Roman" w:eastAsia="Times New Roman" w:hAnsi="Times New Roman"/>
                <w:sz w:val="24"/>
                <w:szCs w:val="24"/>
                <w:lang w:val="ru"/>
              </w:rPr>
              <w:t>12,0</w:t>
            </w:r>
          </w:p>
          <w:p w14:paraId="1106066B" w14:textId="353935ED" w:rsidR="00127040" w:rsidRPr="002E17FD" w:rsidRDefault="00127040" w:rsidP="00BC70B2">
            <w:pPr>
              <w:spacing w:after="0" w:line="20" w:lineRule="atLeast"/>
              <w:ind w:right="57"/>
              <w:rPr>
                <w:rFonts w:ascii="Times New Roman" w:eastAsia="Times New Roman" w:hAnsi="Times New Roman"/>
                <w:sz w:val="24"/>
                <w:szCs w:val="24"/>
              </w:rPr>
            </w:pPr>
            <w:r w:rsidRPr="002E17FD">
              <w:rPr>
                <w:rFonts w:ascii="Times New Roman" w:eastAsia="Times New Roman" w:hAnsi="Times New Roman"/>
                <w:sz w:val="24"/>
                <w:szCs w:val="24"/>
                <w:lang w:val="ru"/>
              </w:rPr>
              <w:t>(8,1; 16,0)</w:t>
            </w: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14:paraId="2F3103C0" w14:textId="6ED691BF" w:rsidR="00127040" w:rsidRPr="002E17FD" w:rsidRDefault="00127040" w:rsidP="00BC70B2">
            <w:pPr>
              <w:spacing w:after="0" w:line="20" w:lineRule="atLeast"/>
              <w:ind w:right="57"/>
              <w:rPr>
                <w:rFonts w:ascii="Times New Roman" w:eastAsia="Times New Roman" w:hAnsi="Times New Roman"/>
                <w:sz w:val="24"/>
                <w:szCs w:val="24"/>
              </w:rPr>
            </w:pPr>
            <w:r w:rsidRPr="002E17FD">
              <w:rPr>
                <w:rFonts w:ascii="Times New Roman" w:eastAsia="Times New Roman" w:hAnsi="Times New Roman"/>
                <w:sz w:val="24"/>
                <w:szCs w:val="24"/>
                <w:lang w:val="ru"/>
              </w:rPr>
              <w:t>8,1</w:t>
            </w:r>
          </w:p>
          <w:p w14:paraId="06699E2B" w14:textId="38A2459F" w:rsidR="00127040" w:rsidRPr="002E17FD" w:rsidRDefault="00127040" w:rsidP="00BC70B2">
            <w:pPr>
              <w:spacing w:after="0" w:line="20" w:lineRule="atLeast"/>
              <w:ind w:right="59"/>
              <w:rPr>
                <w:rFonts w:ascii="Times New Roman" w:eastAsia="Times New Roman" w:hAnsi="Times New Roman"/>
                <w:sz w:val="24"/>
                <w:szCs w:val="24"/>
              </w:rPr>
            </w:pPr>
            <w:r w:rsidRPr="002E17FD">
              <w:rPr>
                <w:rFonts w:ascii="Times New Roman" w:eastAsia="Times New Roman" w:hAnsi="Times New Roman"/>
                <w:sz w:val="24"/>
                <w:szCs w:val="24"/>
                <w:lang w:val="ru"/>
              </w:rPr>
              <w:t>(7,6; 9,0)</w:t>
            </w:r>
          </w:p>
        </w:tc>
      </w:tr>
      <w:tr w:rsidR="00127040" w:rsidRPr="002E17FD" w14:paraId="3AA6DEAF" w14:textId="77777777" w:rsidTr="00873FF7">
        <w:trPr>
          <w:trHeight w:val="262"/>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2AA08C14" w14:textId="77777777" w:rsidR="00127040" w:rsidRPr="002E17FD" w:rsidRDefault="00127040" w:rsidP="00873FF7">
            <w:pPr>
              <w:spacing w:after="0" w:line="20" w:lineRule="atLeast"/>
              <w:ind w:right="55"/>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Соотношение риска (95% CI)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14:paraId="6C2AA272" w14:textId="4455BAB4" w:rsidR="00127040" w:rsidRPr="002E17FD" w:rsidRDefault="00127040" w:rsidP="00BC70B2">
            <w:pPr>
              <w:spacing w:after="0" w:line="20" w:lineRule="atLeast"/>
              <w:ind w:right="54"/>
              <w:rPr>
                <w:rFonts w:ascii="Times New Roman" w:eastAsia="Times New Roman" w:hAnsi="Times New Roman"/>
                <w:sz w:val="24"/>
                <w:szCs w:val="24"/>
              </w:rPr>
            </w:pPr>
            <w:r w:rsidRPr="002E17FD">
              <w:rPr>
                <w:rFonts w:ascii="Times New Roman" w:eastAsia="Times New Roman" w:hAnsi="Times New Roman"/>
                <w:sz w:val="24"/>
                <w:szCs w:val="24"/>
                <w:lang w:val="ru"/>
              </w:rPr>
              <w:t>0,73 (0,57; 0,93)</w:t>
            </w:r>
          </w:p>
        </w:tc>
      </w:tr>
      <w:tr w:rsidR="00127040" w:rsidRPr="002E17FD" w14:paraId="52C4F5C0" w14:textId="77777777" w:rsidTr="00873FF7">
        <w:trPr>
          <w:trHeight w:val="264"/>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2EB9AF60" w14:textId="77777777" w:rsidR="00127040" w:rsidRPr="002E17FD" w:rsidRDefault="00127040" w:rsidP="00873FF7">
            <w:pPr>
              <w:spacing w:after="0" w:line="20" w:lineRule="atLeast"/>
              <w:ind w:right="56"/>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Значение Р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14:paraId="2489BA83" w14:textId="27E87258" w:rsidR="00127040" w:rsidRPr="002E17FD" w:rsidRDefault="00127040" w:rsidP="00BC70B2">
            <w:pPr>
              <w:spacing w:after="0" w:line="20" w:lineRule="atLeast"/>
              <w:ind w:right="55"/>
              <w:rPr>
                <w:rFonts w:ascii="Times New Roman" w:eastAsia="Times New Roman" w:hAnsi="Times New Roman"/>
                <w:sz w:val="24"/>
                <w:szCs w:val="24"/>
              </w:rPr>
            </w:pPr>
            <w:r w:rsidRPr="002E17FD">
              <w:rPr>
                <w:rFonts w:ascii="Times New Roman" w:eastAsia="Times New Roman" w:hAnsi="Times New Roman"/>
                <w:sz w:val="24"/>
                <w:szCs w:val="24"/>
                <w:lang w:val="ru"/>
              </w:rPr>
              <w:t>0,008</w:t>
            </w:r>
          </w:p>
        </w:tc>
      </w:tr>
      <w:tr w:rsidR="00127040" w:rsidRPr="002E17FD" w14:paraId="1083872F" w14:textId="77777777" w:rsidTr="00873FF7">
        <w:trPr>
          <w:trHeight w:val="516"/>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6914AF7F" w14:textId="77777777" w:rsidR="00127040" w:rsidRPr="002E17FD" w:rsidRDefault="00127040" w:rsidP="00873FF7">
            <w:pPr>
              <w:spacing w:after="0" w:line="20" w:lineRule="atLeast"/>
              <w:ind w:right="1430"/>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Частота ответа, % </w:t>
            </w:r>
            <w:r w:rsidRPr="002E17FD">
              <w:rPr>
                <w:rFonts w:ascii="Times New Roman" w:eastAsia="Times New Roman" w:hAnsi="Times New Roman"/>
                <w:sz w:val="24"/>
                <w:szCs w:val="24"/>
                <w:lang w:val="ru"/>
              </w:rPr>
              <w:t xml:space="preserve">(95 % ДИ)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599D98CA" w14:textId="1B77637A" w:rsidR="00127040" w:rsidRPr="002E17FD" w:rsidRDefault="00127040" w:rsidP="00BC70B2">
            <w:pPr>
              <w:spacing w:after="0" w:line="20" w:lineRule="atLeast"/>
              <w:ind w:right="56"/>
              <w:rPr>
                <w:rFonts w:ascii="Times New Roman" w:eastAsia="Times New Roman" w:hAnsi="Times New Roman"/>
                <w:sz w:val="24"/>
                <w:szCs w:val="24"/>
              </w:rPr>
            </w:pPr>
            <w:r w:rsidRPr="002E17FD">
              <w:rPr>
                <w:rFonts w:ascii="Times New Roman" w:eastAsia="Times New Roman" w:hAnsi="Times New Roman"/>
                <w:sz w:val="24"/>
                <w:szCs w:val="24"/>
                <w:lang w:val="ru"/>
              </w:rPr>
              <w:t>10,3</w:t>
            </w:r>
          </w:p>
          <w:p w14:paraId="0DFB6EAE" w14:textId="4E2FFA10" w:rsidR="00127040" w:rsidRPr="002E17FD" w:rsidRDefault="00127040" w:rsidP="00BC70B2">
            <w:pPr>
              <w:spacing w:after="0" w:line="20" w:lineRule="atLeast"/>
              <w:ind w:right="57"/>
              <w:rPr>
                <w:rFonts w:ascii="Times New Roman" w:eastAsia="Times New Roman" w:hAnsi="Times New Roman"/>
                <w:sz w:val="24"/>
                <w:szCs w:val="24"/>
              </w:rPr>
            </w:pPr>
            <w:r w:rsidRPr="002E17FD">
              <w:rPr>
                <w:rFonts w:ascii="Times New Roman" w:eastAsia="Times New Roman" w:hAnsi="Times New Roman"/>
                <w:sz w:val="24"/>
                <w:szCs w:val="24"/>
                <w:lang w:val="ru"/>
              </w:rPr>
              <w:t>(5,9; 16,4)</w:t>
            </w: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14:paraId="01D1AEE7" w14:textId="2199213D" w:rsidR="00127040" w:rsidRPr="002E17FD" w:rsidRDefault="00127040" w:rsidP="00BC70B2">
            <w:pPr>
              <w:spacing w:after="0" w:line="20" w:lineRule="atLeast"/>
              <w:ind w:right="57"/>
              <w:rPr>
                <w:rFonts w:ascii="Times New Roman" w:eastAsia="Times New Roman" w:hAnsi="Times New Roman"/>
                <w:sz w:val="24"/>
                <w:szCs w:val="24"/>
              </w:rPr>
            </w:pPr>
            <w:r w:rsidRPr="002E17FD">
              <w:rPr>
                <w:rFonts w:ascii="Times New Roman" w:eastAsia="Times New Roman" w:hAnsi="Times New Roman"/>
                <w:sz w:val="24"/>
                <w:szCs w:val="24"/>
                <w:lang w:val="ru"/>
              </w:rPr>
              <w:t>6,9</w:t>
            </w:r>
          </w:p>
          <w:p w14:paraId="642F9567" w14:textId="0A9CEA72" w:rsidR="00127040" w:rsidRPr="002E17FD" w:rsidRDefault="00127040" w:rsidP="00BC70B2">
            <w:pPr>
              <w:spacing w:after="0" w:line="20" w:lineRule="atLeast"/>
              <w:ind w:right="59"/>
              <w:rPr>
                <w:rFonts w:ascii="Times New Roman" w:eastAsia="Times New Roman" w:hAnsi="Times New Roman"/>
                <w:sz w:val="24"/>
                <w:szCs w:val="24"/>
              </w:rPr>
            </w:pPr>
            <w:r w:rsidRPr="002E17FD">
              <w:rPr>
                <w:rFonts w:ascii="Times New Roman" w:eastAsia="Times New Roman" w:hAnsi="Times New Roman"/>
                <w:sz w:val="24"/>
                <w:szCs w:val="24"/>
                <w:lang w:val="ru"/>
              </w:rPr>
              <w:t>(3,4; 12,3)</w:t>
            </w:r>
          </w:p>
        </w:tc>
      </w:tr>
      <w:tr w:rsidR="00127040" w:rsidRPr="002E17FD" w14:paraId="07A78744" w14:textId="77777777" w:rsidTr="00873FF7">
        <w:trPr>
          <w:trHeight w:val="262"/>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20E5DCBC"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Количество умерших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2D51D6CA" w14:textId="40DABD41" w:rsidR="00127040" w:rsidRPr="002E17FD" w:rsidRDefault="00127040" w:rsidP="00BC70B2">
            <w:pPr>
              <w:spacing w:after="0" w:line="20" w:lineRule="atLeast"/>
              <w:ind w:right="58"/>
              <w:rPr>
                <w:rFonts w:ascii="Times New Roman" w:eastAsia="Times New Roman" w:hAnsi="Times New Roman"/>
                <w:sz w:val="24"/>
                <w:szCs w:val="24"/>
              </w:rPr>
            </w:pPr>
            <w:r w:rsidRPr="002E17FD">
              <w:rPr>
                <w:rFonts w:ascii="Times New Roman" w:eastAsia="Times New Roman" w:hAnsi="Times New Roman"/>
                <w:sz w:val="24"/>
                <w:szCs w:val="24"/>
                <w:lang w:val="ru"/>
              </w:rPr>
              <w:t>105</w:t>
            </w: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14:paraId="37A9C997" w14:textId="229B360A" w:rsidR="00127040" w:rsidRPr="002E17FD" w:rsidRDefault="00127040" w:rsidP="00BC70B2">
            <w:pPr>
              <w:spacing w:after="0" w:line="20" w:lineRule="atLeast"/>
              <w:ind w:right="59"/>
              <w:rPr>
                <w:rFonts w:ascii="Times New Roman" w:eastAsia="Times New Roman" w:hAnsi="Times New Roman"/>
                <w:sz w:val="24"/>
                <w:szCs w:val="24"/>
              </w:rPr>
            </w:pPr>
            <w:r w:rsidRPr="002E17FD">
              <w:rPr>
                <w:rFonts w:ascii="Times New Roman" w:eastAsia="Times New Roman" w:hAnsi="Times New Roman"/>
                <w:sz w:val="24"/>
                <w:szCs w:val="24"/>
                <w:lang w:val="ru"/>
              </w:rPr>
              <w:t>113</w:t>
            </w:r>
          </w:p>
        </w:tc>
      </w:tr>
      <w:tr w:rsidR="00127040" w:rsidRPr="002E17FD" w14:paraId="4198F03B" w14:textId="77777777" w:rsidTr="00873FF7">
        <w:trPr>
          <w:trHeight w:val="516"/>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40FCF446" w14:textId="77777777" w:rsidR="00127040" w:rsidRPr="002E17FD" w:rsidRDefault="00127040" w:rsidP="00873FF7">
            <w:pPr>
              <w:spacing w:after="0" w:line="20" w:lineRule="atLeast"/>
              <w:ind w:right="20"/>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Медианная общая выживаемость</w:t>
            </w:r>
            <w:r w:rsidRPr="002E17FD">
              <w:rPr>
                <w:rFonts w:ascii="Times New Roman" w:eastAsia="Times New Roman" w:hAnsi="Times New Roman"/>
                <w:b/>
                <w:bCs/>
                <w:sz w:val="24"/>
                <w:szCs w:val="24"/>
                <w:vertAlign w:val="superscript"/>
                <w:lang w:val="ru"/>
              </w:rPr>
              <w:t>1</w:t>
            </w:r>
            <w:r w:rsidRPr="002E17FD">
              <w:rPr>
                <w:rFonts w:ascii="Times New Roman" w:eastAsia="Times New Roman" w:hAnsi="Times New Roman"/>
                <w:b/>
                <w:bCs/>
                <w:sz w:val="24"/>
                <w:szCs w:val="24"/>
                <w:lang w:val="ru"/>
              </w:rPr>
              <w:t xml:space="preserve">, месяцев </w:t>
            </w:r>
            <w:r w:rsidRPr="002E17FD">
              <w:rPr>
                <w:rFonts w:ascii="Times New Roman" w:eastAsia="Times New Roman" w:hAnsi="Times New Roman"/>
                <w:sz w:val="24"/>
                <w:szCs w:val="24"/>
                <w:lang w:val="ru"/>
              </w:rPr>
              <w:t xml:space="preserve">(95 % </w:t>
            </w:r>
            <w:r w:rsidRPr="002E17FD">
              <w:rPr>
                <w:rFonts w:ascii="Times New Roman" w:eastAsia="Times New Roman" w:hAnsi="Times New Roman"/>
                <w:sz w:val="24"/>
                <w:szCs w:val="24"/>
                <w:lang w:val="ru"/>
              </w:rPr>
              <w:lastRenderedPageBreak/>
              <w:t xml:space="preserve">ДИ)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43340097" w14:textId="3774E5CA" w:rsidR="00127040" w:rsidRPr="002E17FD" w:rsidRDefault="00127040" w:rsidP="00BC70B2">
            <w:pPr>
              <w:spacing w:after="0" w:line="20" w:lineRule="atLeast"/>
              <w:ind w:right="56"/>
              <w:rPr>
                <w:rFonts w:ascii="Times New Roman" w:eastAsia="Times New Roman" w:hAnsi="Times New Roman"/>
                <w:sz w:val="24"/>
                <w:szCs w:val="24"/>
              </w:rPr>
            </w:pPr>
            <w:r w:rsidRPr="002E17FD">
              <w:rPr>
                <w:rFonts w:ascii="Times New Roman" w:eastAsia="Times New Roman" w:hAnsi="Times New Roman"/>
                <w:sz w:val="24"/>
                <w:szCs w:val="24"/>
                <w:lang w:val="ru"/>
              </w:rPr>
              <w:lastRenderedPageBreak/>
              <w:t>14,0</w:t>
            </w:r>
          </w:p>
          <w:p w14:paraId="3D076E8E" w14:textId="1AA04D27" w:rsidR="00127040" w:rsidRPr="002E17FD" w:rsidRDefault="00127040" w:rsidP="00BC70B2">
            <w:pPr>
              <w:spacing w:after="0" w:line="20" w:lineRule="atLeast"/>
              <w:ind w:right="57"/>
              <w:rPr>
                <w:rFonts w:ascii="Times New Roman" w:eastAsia="Times New Roman" w:hAnsi="Times New Roman"/>
                <w:sz w:val="24"/>
                <w:szCs w:val="24"/>
              </w:rPr>
            </w:pPr>
            <w:r w:rsidRPr="002E17FD">
              <w:rPr>
                <w:rFonts w:ascii="Times New Roman" w:eastAsia="Times New Roman" w:hAnsi="Times New Roman"/>
                <w:sz w:val="24"/>
                <w:szCs w:val="24"/>
                <w:lang w:val="ru"/>
              </w:rPr>
              <w:t>(11,9; 17,2)</w:t>
            </w: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14:paraId="61292549" w14:textId="12BC91AF" w:rsidR="00127040" w:rsidRPr="002E17FD" w:rsidRDefault="00127040" w:rsidP="00BC70B2">
            <w:pPr>
              <w:spacing w:after="0" w:line="20" w:lineRule="atLeast"/>
              <w:ind w:right="57"/>
              <w:rPr>
                <w:rFonts w:ascii="Times New Roman" w:eastAsia="Times New Roman" w:hAnsi="Times New Roman"/>
                <w:sz w:val="24"/>
                <w:szCs w:val="24"/>
              </w:rPr>
            </w:pPr>
            <w:r w:rsidRPr="002E17FD">
              <w:rPr>
                <w:rFonts w:ascii="Times New Roman" w:eastAsia="Times New Roman" w:hAnsi="Times New Roman"/>
                <w:sz w:val="24"/>
                <w:szCs w:val="24"/>
                <w:lang w:val="ru"/>
              </w:rPr>
              <w:t>9,5</w:t>
            </w:r>
          </w:p>
          <w:p w14:paraId="02884A59" w14:textId="672DA91C" w:rsidR="00127040" w:rsidRPr="002E17FD" w:rsidRDefault="00127040" w:rsidP="00BC70B2">
            <w:pPr>
              <w:spacing w:after="0" w:line="20" w:lineRule="atLeast"/>
              <w:ind w:right="59"/>
              <w:rPr>
                <w:rFonts w:ascii="Times New Roman" w:eastAsia="Times New Roman" w:hAnsi="Times New Roman"/>
                <w:sz w:val="24"/>
                <w:szCs w:val="24"/>
              </w:rPr>
            </w:pPr>
            <w:r w:rsidRPr="002E17FD">
              <w:rPr>
                <w:rFonts w:ascii="Times New Roman" w:eastAsia="Times New Roman" w:hAnsi="Times New Roman"/>
                <w:sz w:val="24"/>
                <w:szCs w:val="24"/>
                <w:lang w:val="ru"/>
              </w:rPr>
              <w:t>(7,6; 12,0)</w:t>
            </w:r>
          </w:p>
        </w:tc>
      </w:tr>
      <w:tr w:rsidR="00127040" w:rsidRPr="002E17FD" w14:paraId="6C0982E7" w14:textId="77777777" w:rsidTr="00873FF7">
        <w:trPr>
          <w:trHeight w:val="264"/>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2344CE3F"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Соотношение риска (95% CI)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14:paraId="21A903F5" w14:textId="77777777" w:rsidR="00127040" w:rsidRPr="002E17FD" w:rsidRDefault="00127040" w:rsidP="00BC70B2">
            <w:pPr>
              <w:spacing w:after="0" w:line="20" w:lineRule="atLeast"/>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0,74 (0,57; 0,97) </w:t>
            </w:r>
          </w:p>
        </w:tc>
      </w:tr>
      <w:tr w:rsidR="00127040" w:rsidRPr="002E17FD" w14:paraId="1A92AEBA" w14:textId="77777777" w:rsidTr="00873FF7">
        <w:trPr>
          <w:trHeight w:val="265"/>
        </w:trPr>
        <w:tc>
          <w:tcPr>
            <w:tcW w:w="3579" w:type="dxa"/>
            <w:tcBorders>
              <w:top w:val="single" w:sz="4" w:space="0" w:color="000000"/>
              <w:left w:val="single" w:sz="4" w:space="0" w:color="000000"/>
              <w:bottom w:val="single" w:sz="4" w:space="0" w:color="000000"/>
              <w:right w:val="single" w:sz="4" w:space="0" w:color="000000"/>
            </w:tcBorders>
            <w:shd w:val="clear" w:color="auto" w:fill="auto"/>
          </w:tcPr>
          <w:p w14:paraId="43EFBAE6"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Значение Р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14:paraId="5EE1E172" w14:textId="77777777" w:rsidR="00127040" w:rsidRPr="002E17FD" w:rsidRDefault="00127040" w:rsidP="00BC70B2">
            <w:pPr>
              <w:spacing w:after="0" w:line="20" w:lineRule="atLeast"/>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0,026 </w:t>
            </w:r>
          </w:p>
        </w:tc>
      </w:tr>
    </w:tbl>
    <w:p w14:paraId="0845E705" w14:textId="77777777" w:rsidR="00127040" w:rsidRPr="002E17FD" w:rsidRDefault="00127040" w:rsidP="00127040">
      <w:pPr>
        <w:spacing w:after="0" w:line="20" w:lineRule="atLeast"/>
        <w:ind w:left="-5" w:right="7"/>
        <w:jc w:val="both"/>
        <w:rPr>
          <w:rFonts w:ascii="Times New Roman" w:hAnsi="Times New Roman"/>
          <w:sz w:val="24"/>
          <w:szCs w:val="24"/>
        </w:rPr>
      </w:pPr>
      <w:r w:rsidRPr="002E17FD">
        <w:rPr>
          <w:rFonts w:ascii="Times New Roman" w:hAnsi="Times New Roman"/>
          <w:sz w:val="24"/>
          <w:szCs w:val="24"/>
          <w:lang w:val="ru"/>
        </w:rPr>
        <w:t xml:space="preserve">PFS = выживаемость без прогрессирования; CI = доверительный интервал. </w:t>
      </w:r>
    </w:p>
    <w:p w14:paraId="7CBC6F4C" w14:textId="77777777" w:rsidR="00127040" w:rsidRPr="002E17FD" w:rsidRDefault="00127040" w:rsidP="00FD2C38">
      <w:pPr>
        <w:spacing w:after="0" w:line="20" w:lineRule="atLeast"/>
        <w:ind w:left="-5" w:right="7"/>
        <w:jc w:val="both"/>
        <w:rPr>
          <w:rFonts w:ascii="Times New Roman" w:hAnsi="Times New Roman"/>
          <w:sz w:val="24"/>
          <w:szCs w:val="24"/>
        </w:rPr>
      </w:pPr>
      <w:r w:rsidRPr="002E17FD">
        <w:rPr>
          <w:rFonts w:ascii="Times New Roman" w:hAnsi="Times New Roman"/>
          <w:sz w:val="24"/>
          <w:szCs w:val="24"/>
          <w:vertAlign w:val="superscript"/>
          <w:lang w:val="ru"/>
        </w:rPr>
        <w:t>1</w:t>
      </w:r>
      <w:r w:rsidRPr="002E17FD">
        <w:rPr>
          <w:rFonts w:ascii="Times New Roman" w:hAnsi="Times New Roman"/>
          <w:sz w:val="24"/>
          <w:szCs w:val="24"/>
          <w:lang w:val="ru"/>
        </w:rPr>
        <w:t xml:space="preserve">оценка Каплана-Майера </w:t>
      </w:r>
    </w:p>
    <w:p w14:paraId="6406B78F" w14:textId="4A852393" w:rsidR="00127040" w:rsidRPr="002E17FD" w:rsidRDefault="00127040" w:rsidP="00BC70B2">
      <w:pPr>
        <w:spacing w:after="0" w:line="20" w:lineRule="atLeast"/>
        <w:jc w:val="both"/>
        <w:rPr>
          <w:rFonts w:ascii="Times New Roman" w:hAnsi="Times New Roman"/>
          <w:b/>
          <w:sz w:val="24"/>
          <w:szCs w:val="24"/>
        </w:rPr>
      </w:pPr>
      <w:r w:rsidRPr="002E17FD">
        <w:rPr>
          <w:rFonts w:ascii="Times New Roman" w:hAnsi="Times New Roman"/>
          <w:b/>
          <w:bCs/>
          <w:sz w:val="24"/>
          <w:szCs w:val="24"/>
          <w:lang w:val="ru"/>
        </w:rPr>
        <w:t>Таблица 5</w:t>
      </w:r>
      <w:r w:rsidR="00BC70B2" w:rsidRPr="002E17FD">
        <w:rPr>
          <w:rFonts w:ascii="Times New Roman" w:hAnsi="Times New Roman"/>
          <w:b/>
          <w:bCs/>
          <w:sz w:val="24"/>
          <w:szCs w:val="24"/>
        </w:rPr>
        <w:t xml:space="preserve">. </w:t>
      </w:r>
      <w:r w:rsidRPr="002E17FD">
        <w:rPr>
          <w:rFonts w:ascii="Times New Roman" w:hAnsi="Times New Roman"/>
          <w:b/>
          <w:bCs/>
          <w:sz w:val="24"/>
          <w:szCs w:val="24"/>
          <w:lang w:val="ru"/>
        </w:rPr>
        <w:t>Краткие сведения о выживаемости без прогрессирования и общей выживаемости в исследованиях с отрицательным значением рецептора гормона.</w:t>
      </w:r>
    </w:p>
    <w:tbl>
      <w:tblPr>
        <w:tblW w:w="9075" w:type="dxa"/>
        <w:tblInd w:w="106" w:type="dxa"/>
        <w:tblCellMar>
          <w:top w:w="7" w:type="dxa"/>
          <w:left w:w="106" w:type="dxa"/>
          <w:right w:w="115" w:type="dxa"/>
        </w:tblCellMar>
        <w:tblLook w:val="04A0" w:firstRow="1" w:lastRow="0" w:firstColumn="1" w:lastColumn="0" w:noHBand="0" w:noVBand="1"/>
      </w:tblPr>
      <w:tblGrid>
        <w:gridCol w:w="2590"/>
        <w:gridCol w:w="3240"/>
        <w:gridCol w:w="3245"/>
      </w:tblGrid>
      <w:tr w:rsidR="00127040" w:rsidRPr="002E17FD" w14:paraId="04F1F868" w14:textId="77777777" w:rsidTr="00873FF7">
        <w:trPr>
          <w:trHeight w:val="262"/>
        </w:trPr>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70BCDA03"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1804A8F7"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Среднее значение выживаемости без прогрессирования </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14:paraId="05D2D996" w14:textId="77777777" w:rsidR="00127040" w:rsidRPr="002E17FD" w:rsidRDefault="00127040" w:rsidP="00873FF7">
            <w:pPr>
              <w:spacing w:after="0" w:line="20" w:lineRule="atLeast"/>
              <w:ind w:left="55"/>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Среднее значение общей выживаемости </w:t>
            </w:r>
          </w:p>
        </w:tc>
      </w:tr>
      <w:tr w:rsidR="00127040" w:rsidRPr="002E17FD" w14:paraId="7D83E422" w14:textId="77777777" w:rsidTr="00873FF7">
        <w:trPr>
          <w:trHeight w:val="521"/>
        </w:trPr>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51D36800"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Лапатиниб + трастузумаб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3649A703"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15,4 недель (8,4; 16,9) </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14:paraId="4298DDDB"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17,2 месяцев (13,9; 19,2) </w:t>
            </w:r>
          </w:p>
        </w:tc>
      </w:tr>
      <w:tr w:rsidR="00127040" w:rsidRPr="002E17FD" w14:paraId="5013BACA" w14:textId="77777777" w:rsidTr="00873FF7">
        <w:trPr>
          <w:trHeight w:val="262"/>
        </w:trPr>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47D3FACA"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Лапатиниб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2A48FCC3"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8,2 недель (7,4; 9,3) </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14:paraId="4D159576"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8,9 месяцев (6,7; 11,8) </w:t>
            </w:r>
          </w:p>
        </w:tc>
      </w:tr>
      <w:tr w:rsidR="00127040" w:rsidRPr="002E17FD" w14:paraId="5A097E99" w14:textId="77777777" w:rsidTr="00873FF7">
        <w:trPr>
          <w:trHeight w:val="264"/>
        </w:trPr>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1FF1B8F1"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Соотношение рисков (95% CI)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1750BC10"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0,73 (0,52; 1,03) </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14:paraId="0F4B625F" w14:textId="77777777" w:rsidR="00127040" w:rsidRPr="002E17FD" w:rsidRDefault="00127040" w:rsidP="00873FF7">
            <w:pPr>
              <w:spacing w:after="0" w:line="20" w:lineRule="atLeast"/>
              <w:ind w:left="2"/>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0,62 (0,42; 0,90) </w:t>
            </w:r>
          </w:p>
        </w:tc>
      </w:tr>
    </w:tbl>
    <w:p w14:paraId="394A943E" w14:textId="77777777" w:rsidR="00127040" w:rsidRPr="002E17FD" w:rsidRDefault="00127040" w:rsidP="00127040">
      <w:pPr>
        <w:pStyle w:val="2"/>
        <w:spacing w:before="0" w:after="0" w:line="20" w:lineRule="atLeast"/>
        <w:jc w:val="both"/>
        <w:rPr>
          <w:rFonts w:ascii="Times New Roman" w:hAnsi="Times New Roman"/>
          <w:b w:val="0"/>
          <w:sz w:val="24"/>
          <w:szCs w:val="24"/>
          <w:u w:val="single"/>
        </w:rPr>
      </w:pPr>
      <w:r w:rsidRPr="002E17FD">
        <w:rPr>
          <w:rFonts w:ascii="Times New Roman" w:hAnsi="Times New Roman"/>
          <w:b w:val="0"/>
          <w:sz w:val="24"/>
          <w:szCs w:val="24"/>
          <w:u w:val="single"/>
          <w:lang w:val="ru"/>
        </w:rPr>
        <w:t xml:space="preserve">Сочетанное применение </w:t>
      </w:r>
      <w:r w:rsidR="00FD2C38" w:rsidRPr="002E17FD">
        <w:rPr>
          <w:rFonts w:ascii="Times New Roman" w:hAnsi="Times New Roman"/>
          <w:b w:val="0"/>
          <w:sz w:val="24"/>
          <w:szCs w:val="24"/>
          <w:u w:val="single"/>
          <w:lang w:val="ru"/>
        </w:rPr>
        <w:t>л</w:t>
      </w:r>
      <w:r w:rsidR="0013336C" w:rsidRPr="002E17FD">
        <w:rPr>
          <w:rFonts w:ascii="Times New Roman" w:hAnsi="Times New Roman"/>
          <w:b w:val="0"/>
          <w:sz w:val="24"/>
          <w:szCs w:val="24"/>
          <w:u w:val="single"/>
          <w:lang w:val="ru"/>
        </w:rPr>
        <w:t>апатиниба</w:t>
      </w:r>
      <w:r w:rsidRPr="002E17FD">
        <w:rPr>
          <w:rFonts w:ascii="Times New Roman" w:hAnsi="Times New Roman"/>
          <w:b w:val="0"/>
          <w:sz w:val="24"/>
          <w:szCs w:val="24"/>
          <w:u w:val="single"/>
          <w:lang w:val="ru"/>
        </w:rPr>
        <w:t xml:space="preserve"> и летрозола </w:t>
      </w:r>
    </w:p>
    <w:p w14:paraId="7D25CE22" w14:textId="77777777" w:rsidR="00127040" w:rsidRPr="002E17FD" w:rsidRDefault="008477D1" w:rsidP="00127040">
      <w:pPr>
        <w:spacing w:after="0" w:line="20" w:lineRule="atLeast"/>
        <w:jc w:val="both"/>
        <w:rPr>
          <w:rFonts w:ascii="Times New Roman" w:hAnsi="Times New Roman"/>
          <w:sz w:val="24"/>
          <w:szCs w:val="24"/>
        </w:rPr>
      </w:pPr>
      <w:r w:rsidRPr="002E17FD">
        <w:rPr>
          <w:rFonts w:ascii="Times New Roman" w:hAnsi="Times New Roman"/>
          <w:sz w:val="24"/>
          <w:szCs w:val="24"/>
          <w:lang w:val="ru"/>
        </w:rPr>
        <w:t>Лапатиниб</w:t>
      </w:r>
      <w:r w:rsidR="00127040" w:rsidRPr="002E17FD">
        <w:rPr>
          <w:rFonts w:ascii="Times New Roman" w:hAnsi="Times New Roman"/>
          <w:sz w:val="24"/>
          <w:szCs w:val="24"/>
          <w:lang w:val="ru"/>
        </w:rPr>
        <w:t xml:space="preserve"> изучался в комбинации с летрозолом для лечения женщин в период после менопаузы с гормонально позитивным (позитивный рецептор эстрогена и /или позитивный рецептор прогестерона) распространенным или метастатическим раком молочной железы. </w:t>
      </w:r>
    </w:p>
    <w:p w14:paraId="2E61F6B9" w14:textId="77777777" w:rsidR="00127040" w:rsidRPr="002E17FD" w:rsidRDefault="00127040" w:rsidP="00127040">
      <w:pPr>
        <w:spacing w:after="0" w:line="20" w:lineRule="atLeast"/>
        <w:ind w:left="-5" w:right="7"/>
        <w:jc w:val="both"/>
        <w:rPr>
          <w:rFonts w:ascii="Times New Roman" w:hAnsi="Times New Roman"/>
          <w:sz w:val="24"/>
          <w:szCs w:val="24"/>
        </w:rPr>
      </w:pPr>
      <w:r w:rsidRPr="002E17FD">
        <w:rPr>
          <w:rFonts w:ascii="Times New Roman" w:hAnsi="Times New Roman"/>
          <w:sz w:val="24"/>
          <w:szCs w:val="24"/>
          <w:lang w:val="ru"/>
        </w:rPr>
        <w:t xml:space="preserve">Исследование фазы III (EGF30008) представляло собой рандомизированное, двойное слепое и плацебо-контролируемое исследование. В данном исследовании были задействованы пациенты, которые не получали предварительного лечения метастатического заболевания. </w:t>
      </w:r>
    </w:p>
    <w:p w14:paraId="7F42E128" w14:textId="77777777" w:rsidR="00127040" w:rsidRPr="002E17FD" w:rsidRDefault="00127040" w:rsidP="00127040">
      <w:pPr>
        <w:spacing w:after="0" w:line="20" w:lineRule="atLeast"/>
        <w:ind w:left="-5" w:right="7"/>
        <w:jc w:val="both"/>
        <w:rPr>
          <w:rFonts w:ascii="Times New Roman" w:hAnsi="Times New Roman"/>
          <w:sz w:val="24"/>
          <w:szCs w:val="24"/>
        </w:rPr>
      </w:pPr>
      <w:r w:rsidRPr="002E17FD">
        <w:rPr>
          <w:rFonts w:ascii="Times New Roman" w:hAnsi="Times New Roman"/>
          <w:sz w:val="24"/>
          <w:szCs w:val="24"/>
          <w:lang w:val="ru"/>
        </w:rPr>
        <w:t xml:space="preserve">В группу с гиперэкспрессией HER2 были включены только 2 пациента, которые предварительно принимали трастузумаб, 2 пациента, которые предварительно принимали ингибитор ароматазы, и приблизительно половина пациентов принимали тамоксифен. </w:t>
      </w:r>
    </w:p>
    <w:p w14:paraId="43C4C673" w14:textId="77777777" w:rsidR="00127040" w:rsidRPr="002E17FD" w:rsidRDefault="00127040" w:rsidP="00127040">
      <w:pPr>
        <w:spacing w:after="0" w:line="20" w:lineRule="atLeast"/>
        <w:ind w:left="-5" w:right="7"/>
        <w:jc w:val="both"/>
        <w:rPr>
          <w:rFonts w:ascii="Times New Roman" w:hAnsi="Times New Roman"/>
          <w:sz w:val="24"/>
          <w:szCs w:val="24"/>
        </w:rPr>
      </w:pPr>
      <w:r w:rsidRPr="002E17FD">
        <w:rPr>
          <w:rFonts w:ascii="Times New Roman" w:hAnsi="Times New Roman"/>
          <w:sz w:val="24"/>
          <w:szCs w:val="24"/>
          <w:lang w:val="ru"/>
        </w:rPr>
        <w:t xml:space="preserve">Пациенты были разделены на группы, принимающие 2,5 мг летрозола один раз в день в сочетании с 1500 мг </w:t>
      </w:r>
      <w:r w:rsidR="00FD2C38" w:rsidRPr="002E17FD">
        <w:rPr>
          <w:rFonts w:ascii="Times New Roman" w:hAnsi="Times New Roman"/>
          <w:sz w:val="24"/>
          <w:szCs w:val="24"/>
          <w:lang w:val="ru"/>
        </w:rPr>
        <w:t>л</w:t>
      </w:r>
      <w:r w:rsidR="002B52AC" w:rsidRPr="002E17FD">
        <w:rPr>
          <w:rFonts w:ascii="Times New Roman" w:hAnsi="Times New Roman"/>
          <w:sz w:val="24"/>
          <w:szCs w:val="24"/>
          <w:lang w:val="ru"/>
        </w:rPr>
        <w:t>апатиниба</w:t>
      </w:r>
      <w:r w:rsidRPr="002E17FD">
        <w:rPr>
          <w:rFonts w:ascii="Times New Roman" w:hAnsi="Times New Roman"/>
          <w:sz w:val="24"/>
          <w:szCs w:val="24"/>
          <w:lang w:val="ru"/>
        </w:rPr>
        <w:t xml:space="preserve"> один раз в день, или летрозол с плацебо. Рандомизация была стратифицирована в зависимости от участков заболевания и от времени после прекращения предварительной адъювантной антиэстрогенной терапии. Статус рецептора HER2 был определен позднее с помощью центрального лабораторного тестирования. Из всех пациентов, выбранных для лечения, 219 пациентов имели опухоли с гиперэкспрессией рецептора HER2, которые и составили предварительно определенную начальную группу для анализа эффективности. В исследовании было 952 пациента с опухолями с негативным HER2 и 115 пациентов с опухолями с неподтвержденным статусом HER2 (нет образца опухоли, нет результатов анализов или по другим причинам). </w:t>
      </w:r>
    </w:p>
    <w:p w14:paraId="6EFDFA9F" w14:textId="77777777" w:rsidR="00127040" w:rsidRPr="002E17FD" w:rsidRDefault="00127040" w:rsidP="00FD2C38">
      <w:pPr>
        <w:spacing w:after="0" w:line="20" w:lineRule="atLeast"/>
        <w:ind w:left="-5" w:right="7"/>
        <w:jc w:val="both"/>
        <w:rPr>
          <w:rFonts w:ascii="Times New Roman" w:hAnsi="Times New Roman"/>
          <w:sz w:val="24"/>
          <w:szCs w:val="24"/>
          <w:lang w:val="ru"/>
        </w:rPr>
      </w:pPr>
      <w:r w:rsidRPr="002E17FD">
        <w:rPr>
          <w:rFonts w:ascii="Times New Roman" w:hAnsi="Times New Roman"/>
          <w:sz w:val="24"/>
          <w:szCs w:val="24"/>
          <w:lang w:val="ru"/>
        </w:rPr>
        <w:t xml:space="preserve">У пациентов с метастатическим раком молочной железы с гиперэкспрессией HER2 выживаемость без прогрессирования, определенная экспертами, была значительно выше при применении летрозола с </w:t>
      </w:r>
      <w:r w:rsidR="00FD2C38" w:rsidRPr="002E17FD">
        <w:rPr>
          <w:rFonts w:ascii="Times New Roman" w:hAnsi="Times New Roman"/>
          <w:sz w:val="24"/>
          <w:szCs w:val="24"/>
          <w:lang w:val="ru"/>
        </w:rPr>
        <w:t>л</w:t>
      </w:r>
      <w:r w:rsidR="002B52AC" w:rsidRPr="002E17FD">
        <w:rPr>
          <w:rFonts w:ascii="Times New Roman" w:hAnsi="Times New Roman"/>
          <w:sz w:val="24"/>
          <w:szCs w:val="24"/>
          <w:lang w:val="ru"/>
        </w:rPr>
        <w:t>апатинибом</w:t>
      </w:r>
      <w:r w:rsidRPr="002E17FD">
        <w:rPr>
          <w:rFonts w:ascii="Times New Roman" w:hAnsi="Times New Roman"/>
          <w:sz w:val="24"/>
          <w:szCs w:val="24"/>
          <w:lang w:val="ru"/>
        </w:rPr>
        <w:t xml:space="preserve"> по сравнению с применением летрозола в сочетании с плацебо. В группе с негативным значением HER2 не было существенной разницы в выживаемости без прогрессирования при применении летрозола в сочетании с </w:t>
      </w:r>
      <w:r w:rsidR="00FD2C38" w:rsidRPr="002E17FD">
        <w:rPr>
          <w:rFonts w:ascii="Times New Roman" w:hAnsi="Times New Roman"/>
          <w:sz w:val="24"/>
          <w:szCs w:val="24"/>
          <w:lang w:val="ru"/>
        </w:rPr>
        <w:t>л</w:t>
      </w:r>
      <w:r w:rsidR="002B52AC" w:rsidRPr="002E17FD">
        <w:rPr>
          <w:rFonts w:ascii="Times New Roman" w:hAnsi="Times New Roman"/>
          <w:sz w:val="24"/>
          <w:szCs w:val="24"/>
          <w:lang w:val="ru"/>
        </w:rPr>
        <w:t>апатинибом</w:t>
      </w:r>
      <w:r w:rsidRPr="002E17FD">
        <w:rPr>
          <w:rFonts w:ascii="Times New Roman" w:hAnsi="Times New Roman"/>
          <w:sz w:val="24"/>
          <w:szCs w:val="24"/>
          <w:lang w:val="ru"/>
        </w:rPr>
        <w:t xml:space="preserve"> по сравнению с применением летрозола в сочетании с плацебо (см. Таблицу 6). </w:t>
      </w:r>
    </w:p>
    <w:p w14:paraId="2084A597" w14:textId="77777777" w:rsidR="00127040" w:rsidRPr="002E17FD" w:rsidRDefault="00127040" w:rsidP="00050E28">
      <w:pPr>
        <w:spacing w:after="0" w:line="20" w:lineRule="atLeast"/>
        <w:ind w:left="-5" w:right="7"/>
        <w:jc w:val="both"/>
        <w:rPr>
          <w:rFonts w:ascii="Times New Roman" w:hAnsi="Times New Roman"/>
          <w:b/>
          <w:sz w:val="24"/>
          <w:szCs w:val="24"/>
        </w:rPr>
      </w:pPr>
      <w:r w:rsidRPr="002E17FD">
        <w:rPr>
          <w:rFonts w:ascii="Times New Roman" w:hAnsi="Times New Roman"/>
          <w:b/>
          <w:bCs/>
          <w:sz w:val="24"/>
          <w:szCs w:val="24"/>
          <w:lang w:val="ru"/>
        </w:rPr>
        <w:t xml:space="preserve">Таблица 6. </w:t>
      </w:r>
      <w:r w:rsidRPr="002E17FD">
        <w:rPr>
          <w:rFonts w:ascii="Times New Roman" w:hAnsi="Times New Roman"/>
          <w:b/>
          <w:bCs/>
          <w:sz w:val="24"/>
          <w:szCs w:val="24"/>
          <w:lang w:val="ru"/>
        </w:rPr>
        <w:tab/>
        <w:t>Данные в отношении выживаемости без прогрессирования, полученные из исследования EGF30008 (</w:t>
      </w:r>
      <w:r w:rsidR="00FD2C38" w:rsidRPr="002E17FD">
        <w:rPr>
          <w:rFonts w:ascii="Times New Roman" w:hAnsi="Times New Roman"/>
          <w:b/>
          <w:bCs/>
          <w:sz w:val="24"/>
          <w:szCs w:val="24"/>
          <w:lang w:val="ru"/>
        </w:rPr>
        <w:t>л</w:t>
      </w:r>
      <w:r w:rsidR="002B52AC" w:rsidRPr="002E17FD">
        <w:rPr>
          <w:rFonts w:ascii="Times New Roman" w:hAnsi="Times New Roman"/>
          <w:b/>
          <w:bCs/>
          <w:sz w:val="24"/>
          <w:szCs w:val="24"/>
          <w:lang w:val="ru"/>
        </w:rPr>
        <w:t>апатиниб</w:t>
      </w:r>
      <w:r w:rsidRPr="002E17FD">
        <w:rPr>
          <w:rFonts w:ascii="Times New Roman" w:hAnsi="Times New Roman"/>
          <w:b/>
          <w:bCs/>
          <w:sz w:val="24"/>
          <w:szCs w:val="24"/>
          <w:lang w:val="ru"/>
        </w:rPr>
        <w:t>/летрозол)</w:t>
      </w:r>
    </w:p>
    <w:tbl>
      <w:tblPr>
        <w:tblW w:w="90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 w:type="dxa"/>
          <w:right w:w="82" w:type="dxa"/>
        </w:tblCellMar>
        <w:tblLook w:val="04A0" w:firstRow="1" w:lastRow="0" w:firstColumn="1" w:lastColumn="0" w:noHBand="0" w:noVBand="1"/>
      </w:tblPr>
      <w:tblGrid>
        <w:gridCol w:w="2252"/>
        <w:gridCol w:w="1746"/>
        <w:gridCol w:w="1665"/>
        <w:gridCol w:w="1746"/>
        <w:gridCol w:w="1665"/>
      </w:tblGrid>
      <w:tr w:rsidR="00127040" w:rsidRPr="002E17FD" w14:paraId="533A99E9" w14:textId="77777777" w:rsidTr="00050E28">
        <w:trPr>
          <w:trHeight w:val="262"/>
        </w:trPr>
        <w:tc>
          <w:tcPr>
            <w:tcW w:w="2160" w:type="dxa"/>
            <w:vMerge w:val="restart"/>
            <w:shd w:val="clear" w:color="auto" w:fill="auto"/>
          </w:tcPr>
          <w:p w14:paraId="1BD16734"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 </w:t>
            </w:r>
          </w:p>
        </w:tc>
        <w:tc>
          <w:tcPr>
            <w:tcW w:w="3457" w:type="dxa"/>
            <w:gridSpan w:val="2"/>
            <w:shd w:val="clear" w:color="auto" w:fill="auto"/>
          </w:tcPr>
          <w:p w14:paraId="4B70E518"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Группа пациентов с гиперэкспрессией HER2 </w:t>
            </w:r>
          </w:p>
        </w:tc>
        <w:tc>
          <w:tcPr>
            <w:tcW w:w="3457" w:type="dxa"/>
            <w:gridSpan w:val="2"/>
            <w:shd w:val="clear" w:color="auto" w:fill="auto"/>
          </w:tcPr>
          <w:p w14:paraId="4511B431"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Группа пациентов с негативным HER2 </w:t>
            </w:r>
          </w:p>
        </w:tc>
      </w:tr>
      <w:tr w:rsidR="00127040" w:rsidRPr="002E17FD" w14:paraId="3BF3AE11" w14:textId="77777777" w:rsidTr="00050E28">
        <w:trPr>
          <w:trHeight w:val="264"/>
        </w:trPr>
        <w:tc>
          <w:tcPr>
            <w:tcW w:w="2160" w:type="dxa"/>
            <w:vMerge/>
            <w:shd w:val="clear" w:color="auto" w:fill="auto"/>
          </w:tcPr>
          <w:p w14:paraId="0A2F5EE2" w14:textId="77777777" w:rsidR="00127040" w:rsidRPr="002E17FD" w:rsidRDefault="00127040" w:rsidP="00873FF7">
            <w:pPr>
              <w:spacing w:after="0" w:line="20" w:lineRule="atLeast"/>
              <w:jc w:val="both"/>
              <w:rPr>
                <w:rFonts w:ascii="Times New Roman" w:eastAsia="Times New Roman" w:hAnsi="Times New Roman"/>
                <w:sz w:val="24"/>
                <w:szCs w:val="24"/>
              </w:rPr>
            </w:pPr>
          </w:p>
        </w:tc>
        <w:tc>
          <w:tcPr>
            <w:tcW w:w="1774" w:type="dxa"/>
            <w:shd w:val="clear" w:color="auto" w:fill="auto"/>
          </w:tcPr>
          <w:p w14:paraId="5657B268"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N = 111 </w:t>
            </w:r>
          </w:p>
        </w:tc>
        <w:tc>
          <w:tcPr>
            <w:tcW w:w="1683" w:type="dxa"/>
            <w:shd w:val="clear" w:color="auto" w:fill="auto"/>
          </w:tcPr>
          <w:p w14:paraId="7D64235C"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N = 108 </w:t>
            </w:r>
          </w:p>
        </w:tc>
        <w:tc>
          <w:tcPr>
            <w:tcW w:w="1774" w:type="dxa"/>
            <w:shd w:val="clear" w:color="auto" w:fill="auto"/>
          </w:tcPr>
          <w:p w14:paraId="05AD69A0"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N = 478 </w:t>
            </w:r>
          </w:p>
        </w:tc>
        <w:tc>
          <w:tcPr>
            <w:tcW w:w="1683" w:type="dxa"/>
            <w:shd w:val="clear" w:color="auto" w:fill="auto"/>
          </w:tcPr>
          <w:p w14:paraId="68B9D37F"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N = 474 </w:t>
            </w:r>
          </w:p>
        </w:tc>
      </w:tr>
      <w:tr w:rsidR="00127040" w:rsidRPr="002E17FD" w14:paraId="724D6097" w14:textId="77777777" w:rsidTr="00050E28">
        <w:trPr>
          <w:trHeight w:val="1022"/>
        </w:trPr>
        <w:tc>
          <w:tcPr>
            <w:tcW w:w="2160" w:type="dxa"/>
            <w:vMerge/>
            <w:shd w:val="clear" w:color="auto" w:fill="auto"/>
          </w:tcPr>
          <w:p w14:paraId="0E69907B" w14:textId="77777777" w:rsidR="00127040" w:rsidRPr="002E17FD" w:rsidRDefault="00127040" w:rsidP="00873FF7">
            <w:pPr>
              <w:spacing w:after="0" w:line="20" w:lineRule="atLeast"/>
              <w:jc w:val="both"/>
              <w:rPr>
                <w:rFonts w:ascii="Times New Roman" w:eastAsia="Times New Roman" w:hAnsi="Times New Roman"/>
                <w:sz w:val="24"/>
                <w:szCs w:val="24"/>
              </w:rPr>
            </w:pPr>
          </w:p>
        </w:tc>
        <w:tc>
          <w:tcPr>
            <w:tcW w:w="1774" w:type="dxa"/>
            <w:shd w:val="clear" w:color="auto" w:fill="auto"/>
          </w:tcPr>
          <w:p w14:paraId="02D86B0C" w14:textId="77777777" w:rsidR="00127040" w:rsidRPr="002E17FD" w:rsidRDefault="002B52AC"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Лапатиниб</w:t>
            </w:r>
            <w:r w:rsidR="00127040" w:rsidRPr="002E17FD">
              <w:rPr>
                <w:rFonts w:ascii="Times New Roman" w:eastAsia="Times New Roman" w:hAnsi="Times New Roman"/>
                <w:b/>
                <w:bCs/>
                <w:sz w:val="24"/>
                <w:szCs w:val="24"/>
                <w:lang w:val="ru"/>
              </w:rPr>
              <w:t xml:space="preserve"> 1500 мг </w:t>
            </w:r>
          </w:p>
          <w:p w14:paraId="438F4CDA"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/сутки </w:t>
            </w:r>
          </w:p>
          <w:p w14:paraId="6B842874"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 </w:t>
            </w:r>
            <w:r w:rsidR="00FD2C38" w:rsidRPr="002E17FD">
              <w:rPr>
                <w:rFonts w:ascii="Times New Roman" w:eastAsia="Times New Roman" w:hAnsi="Times New Roman"/>
                <w:b/>
                <w:bCs/>
                <w:sz w:val="24"/>
                <w:szCs w:val="24"/>
                <w:lang w:val="ru"/>
              </w:rPr>
              <w:t>л</w:t>
            </w:r>
            <w:r w:rsidRPr="002E17FD">
              <w:rPr>
                <w:rFonts w:ascii="Times New Roman" w:eastAsia="Times New Roman" w:hAnsi="Times New Roman"/>
                <w:b/>
                <w:bCs/>
                <w:sz w:val="24"/>
                <w:szCs w:val="24"/>
                <w:lang w:val="ru"/>
              </w:rPr>
              <w:t xml:space="preserve">етрозол </w:t>
            </w:r>
          </w:p>
          <w:p w14:paraId="4810D224"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2,5 мг/сутки </w:t>
            </w:r>
          </w:p>
        </w:tc>
        <w:tc>
          <w:tcPr>
            <w:tcW w:w="1683" w:type="dxa"/>
            <w:shd w:val="clear" w:color="auto" w:fill="auto"/>
          </w:tcPr>
          <w:p w14:paraId="485A8D6A"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Летрозол </w:t>
            </w:r>
          </w:p>
          <w:p w14:paraId="54EFE948"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2,5 мг/сутки </w:t>
            </w:r>
          </w:p>
          <w:p w14:paraId="12D55DD4"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 плацебо </w:t>
            </w:r>
          </w:p>
        </w:tc>
        <w:tc>
          <w:tcPr>
            <w:tcW w:w="1774" w:type="dxa"/>
            <w:shd w:val="clear" w:color="auto" w:fill="auto"/>
          </w:tcPr>
          <w:p w14:paraId="1E7D4C5C" w14:textId="77777777" w:rsidR="00127040" w:rsidRPr="002E17FD" w:rsidRDefault="002B52AC"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Лапатиниб</w:t>
            </w:r>
            <w:r w:rsidR="00127040" w:rsidRPr="002E17FD">
              <w:rPr>
                <w:rFonts w:ascii="Times New Roman" w:eastAsia="Times New Roman" w:hAnsi="Times New Roman"/>
                <w:b/>
                <w:bCs/>
                <w:sz w:val="24"/>
                <w:szCs w:val="24"/>
                <w:lang w:val="ru"/>
              </w:rPr>
              <w:t xml:space="preserve"> 1500 мг </w:t>
            </w:r>
          </w:p>
          <w:p w14:paraId="47E71DB1"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/сутки </w:t>
            </w:r>
          </w:p>
          <w:p w14:paraId="086AF8F4"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 </w:t>
            </w:r>
            <w:r w:rsidR="00FD2C38" w:rsidRPr="002E17FD">
              <w:rPr>
                <w:rFonts w:ascii="Times New Roman" w:eastAsia="Times New Roman" w:hAnsi="Times New Roman"/>
                <w:b/>
                <w:bCs/>
                <w:sz w:val="24"/>
                <w:szCs w:val="24"/>
                <w:lang w:val="ru"/>
              </w:rPr>
              <w:t>л</w:t>
            </w:r>
            <w:r w:rsidRPr="002E17FD">
              <w:rPr>
                <w:rFonts w:ascii="Times New Roman" w:eastAsia="Times New Roman" w:hAnsi="Times New Roman"/>
                <w:b/>
                <w:bCs/>
                <w:sz w:val="24"/>
                <w:szCs w:val="24"/>
                <w:lang w:val="ru"/>
              </w:rPr>
              <w:t xml:space="preserve">етрозол </w:t>
            </w:r>
          </w:p>
          <w:p w14:paraId="0ADD6077"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2,5 мг/сутки </w:t>
            </w:r>
          </w:p>
        </w:tc>
        <w:tc>
          <w:tcPr>
            <w:tcW w:w="1683" w:type="dxa"/>
            <w:shd w:val="clear" w:color="auto" w:fill="auto"/>
          </w:tcPr>
          <w:p w14:paraId="69CA7511"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Летрозол </w:t>
            </w:r>
          </w:p>
          <w:p w14:paraId="16FA0417"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2,5 мг/сутки </w:t>
            </w:r>
          </w:p>
          <w:p w14:paraId="107BA3F3"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 плацебо </w:t>
            </w:r>
          </w:p>
        </w:tc>
      </w:tr>
      <w:tr w:rsidR="00127040" w:rsidRPr="002E17FD" w14:paraId="57C3DCEA" w14:textId="77777777" w:rsidTr="00050E28">
        <w:trPr>
          <w:trHeight w:val="266"/>
        </w:trPr>
        <w:tc>
          <w:tcPr>
            <w:tcW w:w="2160" w:type="dxa"/>
            <w:shd w:val="clear" w:color="auto" w:fill="auto"/>
          </w:tcPr>
          <w:p w14:paraId="1D7F6D5B"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Среднее значение выживаемости без прогрессирования, недели (95% CI) </w:t>
            </w:r>
          </w:p>
        </w:tc>
        <w:tc>
          <w:tcPr>
            <w:tcW w:w="1774" w:type="dxa"/>
            <w:shd w:val="clear" w:color="auto" w:fill="auto"/>
          </w:tcPr>
          <w:p w14:paraId="3C92F022"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35,4 </w:t>
            </w:r>
          </w:p>
          <w:p w14:paraId="6C132B68"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(24,1; 39,4) </w:t>
            </w:r>
          </w:p>
        </w:tc>
        <w:tc>
          <w:tcPr>
            <w:tcW w:w="1683" w:type="dxa"/>
            <w:shd w:val="clear" w:color="auto" w:fill="auto"/>
          </w:tcPr>
          <w:p w14:paraId="36751391"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13,0 </w:t>
            </w:r>
          </w:p>
          <w:p w14:paraId="447C72F9"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(12,0; 23,7) </w:t>
            </w:r>
          </w:p>
        </w:tc>
        <w:tc>
          <w:tcPr>
            <w:tcW w:w="1774" w:type="dxa"/>
            <w:shd w:val="clear" w:color="auto" w:fill="auto"/>
          </w:tcPr>
          <w:p w14:paraId="7553975D"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59,7 </w:t>
            </w:r>
          </w:p>
          <w:p w14:paraId="22E2D3FB"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(48,6; 69,7) </w:t>
            </w:r>
          </w:p>
        </w:tc>
        <w:tc>
          <w:tcPr>
            <w:tcW w:w="1683" w:type="dxa"/>
            <w:shd w:val="clear" w:color="auto" w:fill="auto"/>
          </w:tcPr>
          <w:p w14:paraId="72EB0E23"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58,3 </w:t>
            </w:r>
          </w:p>
          <w:p w14:paraId="3E8A3945"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(47,9; 62,0) </w:t>
            </w:r>
          </w:p>
        </w:tc>
      </w:tr>
      <w:tr w:rsidR="00127040" w:rsidRPr="002E17FD" w14:paraId="6E5E64D2" w14:textId="77777777" w:rsidTr="00050E28">
        <w:trPr>
          <w:trHeight w:val="262"/>
        </w:trPr>
        <w:tc>
          <w:tcPr>
            <w:tcW w:w="2160" w:type="dxa"/>
            <w:shd w:val="clear" w:color="auto" w:fill="auto"/>
          </w:tcPr>
          <w:p w14:paraId="0FFED67A"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Соотношение рисков </w:t>
            </w:r>
          </w:p>
        </w:tc>
        <w:tc>
          <w:tcPr>
            <w:tcW w:w="3457" w:type="dxa"/>
            <w:gridSpan w:val="2"/>
            <w:shd w:val="clear" w:color="auto" w:fill="auto"/>
          </w:tcPr>
          <w:p w14:paraId="3E76B527"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0,71 (0,53; 0,96) </w:t>
            </w:r>
          </w:p>
        </w:tc>
        <w:tc>
          <w:tcPr>
            <w:tcW w:w="3457" w:type="dxa"/>
            <w:gridSpan w:val="2"/>
            <w:shd w:val="clear" w:color="auto" w:fill="auto"/>
          </w:tcPr>
          <w:p w14:paraId="6B1060CC"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0,90 (0,77; 1,05) </w:t>
            </w:r>
          </w:p>
        </w:tc>
      </w:tr>
      <w:tr w:rsidR="00127040" w:rsidRPr="002E17FD" w14:paraId="75E91DAE" w14:textId="77777777" w:rsidTr="00050E28">
        <w:trPr>
          <w:trHeight w:val="264"/>
        </w:trPr>
        <w:tc>
          <w:tcPr>
            <w:tcW w:w="2160" w:type="dxa"/>
            <w:shd w:val="clear" w:color="auto" w:fill="auto"/>
          </w:tcPr>
          <w:p w14:paraId="364ED017" w14:textId="77777777" w:rsidR="00127040" w:rsidRPr="002E17FD" w:rsidRDefault="00127040" w:rsidP="00873FF7">
            <w:pPr>
              <w:spacing w:after="0" w:line="20" w:lineRule="atLeast"/>
              <w:ind w:left="566"/>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Р-значение </w:t>
            </w:r>
          </w:p>
        </w:tc>
        <w:tc>
          <w:tcPr>
            <w:tcW w:w="3457" w:type="dxa"/>
            <w:gridSpan w:val="2"/>
            <w:shd w:val="clear" w:color="auto" w:fill="auto"/>
          </w:tcPr>
          <w:p w14:paraId="0891C951"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0,019 </w:t>
            </w:r>
          </w:p>
        </w:tc>
        <w:tc>
          <w:tcPr>
            <w:tcW w:w="3457" w:type="dxa"/>
            <w:gridSpan w:val="2"/>
            <w:shd w:val="clear" w:color="auto" w:fill="auto"/>
          </w:tcPr>
          <w:p w14:paraId="5BE4DC6D"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0,188 </w:t>
            </w:r>
          </w:p>
        </w:tc>
      </w:tr>
      <w:tr w:rsidR="00127040" w:rsidRPr="002E17FD" w14:paraId="03804653" w14:textId="77777777" w:rsidTr="00050E28">
        <w:trPr>
          <w:trHeight w:val="517"/>
        </w:trPr>
        <w:tc>
          <w:tcPr>
            <w:tcW w:w="2160" w:type="dxa"/>
            <w:shd w:val="clear" w:color="auto" w:fill="auto"/>
          </w:tcPr>
          <w:p w14:paraId="0B24A57C"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Частота объективных ответов </w:t>
            </w:r>
          </w:p>
        </w:tc>
        <w:tc>
          <w:tcPr>
            <w:tcW w:w="1774" w:type="dxa"/>
            <w:shd w:val="clear" w:color="auto" w:fill="auto"/>
          </w:tcPr>
          <w:p w14:paraId="17ED3089"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27,9% </w:t>
            </w:r>
          </w:p>
        </w:tc>
        <w:tc>
          <w:tcPr>
            <w:tcW w:w="1683" w:type="dxa"/>
            <w:shd w:val="clear" w:color="auto" w:fill="auto"/>
          </w:tcPr>
          <w:p w14:paraId="016BAAE0"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14,8% </w:t>
            </w:r>
          </w:p>
        </w:tc>
        <w:tc>
          <w:tcPr>
            <w:tcW w:w="1774" w:type="dxa"/>
            <w:shd w:val="clear" w:color="auto" w:fill="auto"/>
          </w:tcPr>
          <w:p w14:paraId="1A870235"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32,6% </w:t>
            </w:r>
          </w:p>
        </w:tc>
        <w:tc>
          <w:tcPr>
            <w:tcW w:w="1683" w:type="dxa"/>
            <w:shd w:val="clear" w:color="auto" w:fill="auto"/>
          </w:tcPr>
          <w:p w14:paraId="486C72E3"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31,6% </w:t>
            </w:r>
          </w:p>
        </w:tc>
      </w:tr>
      <w:tr w:rsidR="00127040" w:rsidRPr="002E17FD" w14:paraId="2BE97513" w14:textId="77777777" w:rsidTr="00050E28">
        <w:trPr>
          <w:trHeight w:val="264"/>
        </w:trPr>
        <w:tc>
          <w:tcPr>
            <w:tcW w:w="2160" w:type="dxa"/>
            <w:shd w:val="clear" w:color="auto" w:fill="auto"/>
          </w:tcPr>
          <w:p w14:paraId="6B167D78" w14:textId="77777777" w:rsidR="00127040" w:rsidRPr="002E17FD" w:rsidRDefault="00127040" w:rsidP="00873FF7">
            <w:pPr>
              <w:spacing w:after="0" w:line="20" w:lineRule="atLeast"/>
              <w:ind w:left="19"/>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Соотношение шансов </w:t>
            </w:r>
          </w:p>
        </w:tc>
        <w:tc>
          <w:tcPr>
            <w:tcW w:w="3457" w:type="dxa"/>
            <w:gridSpan w:val="2"/>
            <w:shd w:val="clear" w:color="auto" w:fill="auto"/>
          </w:tcPr>
          <w:p w14:paraId="58D861F3"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0,4 (0,2; 0,9) </w:t>
            </w:r>
          </w:p>
        </w:tc>
        <w:tc>
          <w:tcPr>
            <w:tcW w:w="3457" w:type="dxa"/>
            <w:gridSpan w:val="2"/>
            <w:shd w:val="clear" w:color="auto" w:fill="auto"/>
          </w:tcPr>
          <w:p w14:paraId="00327CC6"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0,9 (0,7; 1,3) </w:t>
            </w:r>
          </w:p>
        </w:tc>
      </w:tr>
      <w:tr w:rsidR="00127040" w:rsidRPr="002E17FD" w14:paraId="50F7C836" w14:textId="77777777" w:rsidTr="00050E28">
        <w:trPr>
          <w:trHeight w:val="262"/>
        </w:trPr>
        <w:tc>
          <w:tcPr>
            <w:tcW w:w="2160" w:type="dxa"/>
            <w:shd w:val="clear" w:color="auto" w:fill="auto"/>
          </w:tcPr>
          <w:p w14:paraId="363D15C6" w14:textId="77777777" w:rsidR="00127040" w:rsidRPr="002E17FD" w:rsidRDefault="00127040" w:rsidP="00873FF7">
            <w:pPr>
              <w:spacing w:after="0" w:line="20" w:lineRule="atLeast"/>
              <w:ind w:left="566"/>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Р-значение </w:t>
            </w:r>
          </w:p>
        </w:tc>
        <w:tc>
          <w:tcPr>
            <w:tcW w:w="3457" w:type="dxa"/>
            <w:gridSpan w:val="2"/>
            <w:shd w:val="clear" w:color="auto" w:fill="auto"/>
          </w:tcPr>
          <w:p w14:paraId="607913CF"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0,021 </w:t>
            </w:r>
          </w:p>
        </w:tc>
        <w:tc>
          <w:tcPr>
            <w:tcW w:w="3457" w:type="dxa"/>
            <w:gridSpan w:val="2"/>
            <w:shd w:val="clear" w:color="auto" w:fill="auto"/>
          </w:tcPr>
          <w:p w14:paraId="1FF9E5F6"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0,26 </w:t>
            </w:r>
          </w:p>
        </w:tc>
      </w:tr>
      <w:tr w:rsidR="00127040" w:rsidRPr="002E17FD" w14:paraId="14A04379" w14:textId="77777777" w:rsidTr="00050E28">
        <w:trPr>
          <w:trHeight w:val="516"/>
        </w:trPr>
        <w:tc>
          <w:tcPr>
            <w:tcW w:w="2160" w:type="dxa"/>
            <w:shd w:val="clear" w:color="auto" w:fill="auto"/>
          </w:tcPr>
          <w:p w14:paraId="4CC8A226"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Частота клинической эффективности </w:t>
            </w:r>
          </w:p>
        </w:tc>
        <w:tc>
          <w:tcPr>
            <w:tcW w:w="1774" w:type="dxa"/>
            <w:shd w:val="clear" w:color="auto" w:fill="auto"/>
          </w:tcPr>
          <w:p w14:paraId="4801602C"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47,7% </w:t>
            </w:r>
          </w:p>
        </w:tc>
        <w:tc>
          <w:tcPr>
            <w:tcW w:w="1683" w:type="dxa"/>
            <w:shd w:val="clear" w:color="auto" w:fill="auto"/>
          </w:tcPr>
          <w:p w14:paraId="77D3660D"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28,7% </w:t>
            </w:r>
          </w:p>
        </w:tc>
        <w:tc>
          <w:tcPr>
            <w:tcW w:w="1774" w:type="dxa"/>
            <w:shd w:val="clear" w:color="auto" w:fill="auto"/>
          </w:tcPr>
          <w:p w14:paraId="03FEFA69"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58,2% </w:t>
            </w:r>
          </w:p>
        </w:tc>
        <w:tc>
          <w:tcPr>
            <w:tcW w:w="1683" w:type="dxa"/>
            <w:shd w:val="clear" w:color="auto" w:fill="auto"/>
          </w:tcPr>
          <w:p w14:paraId="67D94105"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31,6% </w:t>
            </w:r>
          </w:p>
        </w:tc>
      </w:tr>
      <w:tr w:rsidR="00127040" w:rsidRPr="002E17FD" w14:paraId="438E61F4" w14:textId="77777777" w:rsidTr="00050E28">
        <w:trPr>
          <w:trHeight w:val="264"/>
        </w:trPr>
        <w:tc>
          <w:tcPr>
            <w:tcW w:w="2160" w:type="dxa"/>
            <w:shd w:val="clear" w:color="auto" w:fill="auto"/>
          </w:tcPr>
          <w:p w14:paraId="63492696" w14:textId="77777777" w:rsidR="00127040" w:rsidRPr="002E17FD" w:rsidRDefault="00127040" w:rsidP="00873FF7">
            <w:pPr>
              <w:spacing w:after="0" w:line="20" w:lineRule="atLeast"/>
              <w:ind w:left="19"/>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Соотношение шансов </w:t>
            </w:r>
          </w:p>
        </w:tc>
        <w:tc>
          <w:tcPr>
            <w:tcW w:w="3457" w:type="dxa"/>
            <w:gridSpan w:val="2"/>
            <w:shd w:val="clear" w:color="auto" w:fill="auto"/>
          </w:tcPr>
          <w:p w14:paraId="085A3A16"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0,4 (0,2; 0,8) </w:t>
            </w:r>
          </w:p>
        </w:tc>
        <w:tc>
          <w:tcPr>
            <w:tcW w:w="3457" w:type="dxa"/>
            <w:gridSpan w:val="2"/>
            <w:shd w:val="clear" w:color="auto" w:fill="auto"/>
          </w:tcPr>
          <w:p w14:paraId="08731F8F"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1,0 (0,7; 1,2) </w:t>
            </w:r>
          </w:p>
        </w:tc>
      </w:tr>
      <w:tr w:rsidR="00127040" w:rsidRPr="002E17FD" w14:paraId="33606383" w14:textId="77777777" w:rsidTr="00050E28">
        <w:trPr>
          <w:trHeight w:val="266"/>
        </w:trPr>
        <w:tc>
          <w:tcPr>
            <w:tcW w:w="2160" w:type="dxa"/>
            <w:shd w:val="clear" w:color="auto" w:fill="auto"/>
          </w:tcPr>
          <w:p w14:paraId="48509F89" w14:textId="77777777" w:rsidR="00127040" w:rsidRPr="002E17FD" w:rsidRDefault="00127040" w:rsidP="00873FF7">
            <w:pPr>
              <w:spacing w:after="0" w:line="20" w:lineRule="atLeast"/>
              <w:ind w:left="566"/>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Р-значение </w:t>
            </w:r>
          </w:p>
        </w:tc>
        <w:tc>
          <w:tcPr>
            <w:tcW w:w="3457" w:type="dxa"/>
            <w:gridSpan w:val="2"/>
            <w:shd w:val="clear" w:color="auto" w:fill="auto"/>
          </w:tcPr>
          <w:p w14:paraId="58053910"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0,003 </w:t>
            </w:r>
          </w:p>
        </w:tc>
        <w:tc>
          <w:tcPr>
            <w:tcW w:w="3457" w:type="dxa"/>
            <w:gridSpan w:val="2"/>
            <w:shd w:val="clear" w:color="auto" w:fill="auto"/>
          </w:tcPr>
          <w:p w14:paraId="5B6B0309"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0,199 </w:t>
            </w:r>
          </w:p>
        </w:tc>
      </w:tr>
      <w:tr w:rsidR="00127040" w:rsidRPr="002E17FD" w14:paraId="083F45A7" w14:textId="77777777" w:rsidTr="00050E28">
        <w:trPr>
          <w:trHeight w:val="1085"/>
        </w:trPr>
        <w:tc>
          <w:tcPr>
            <w:tcW w:w="9074" w:type="dxa"/>
            <w:gridSpan w:val="5"/>
            <w:shd w:val="clear" w:color="auto" w:fill="auto"/>
          </w:tcPr>
          <w:p w14:paraId="13D65A01"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i/>
                <w:iCs/>
                <w:sz w:val="24"/>
                <w:szCs w:val="24"/>
                <w:lang w:val="ru"/>
              </w:rPr>
              <w:t>CI = доверительный интервал</w:t>
            </w:r>
            <w:r w:rsidRPr="002E17FD">
              <w:rPr>
                <w:rFonts w:ascii="Times New Roman" w:eastAsia="Times New Roman" w:hAnsi="Times New Roman"/>
                <w:sz w:val="24"/>
                <w:szCs w:val="24"/>
                <w:lang w:val="ru"/>
              </w:rPr>
              <w:t xml:space="preserve"> </w:t>
            </w:r>
          </w:p>
          <w:p w14:paraId="2147A1CC"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Гиперэкспрессия HER2 = позитивный IHC 3+ и / или FISH; негативный HER2 = негативный IHC 0, 1+ или 2+ и / или FISH </w:t>
            </w:r>
          </w:p>
          <w:p w14:paraId="5416C2E2"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Частоту клинической эффективности определяли как полный ответ плюс частичный ответ, плюс стабилизация заболевания на протяжении 6 месяцев. </w:t>
            </w:r>
          </w:p>
        </w:tc>
      </w:tr>
    </w:tbl>
    <w:p w14:paraId="7E5FBA35" w14:textId="77777777" w:rsidR="00127040" w:rsidRPr="002E17FD" w:rsidRDefault="00127040" w:rsidP="00733FE5">
      <w:pPr>
        <w:spacing w:after="0" w:line="20" w:lineRule="atLeast"/>
        <w:ind w:right="7"/>
        <w:jc w:val="both"/>
        <w:rPr>
          <w:rFonts w:ascii="Times New Roman" w:hAnsi="Times New Roman"/>
          <w:sz w:val="24"/>
          <w:szCs w:val="24"/>
        </w:rPr>
      </w:pPr>
      <w:r w:rsidRPr="002E17FD">
        <w:rPr>
          <w:rFonts w:ascii="Times New Roman" w:hAnsi="Times New Roman"/>
          <w:sz w:val="24"/>
          <w:szCs w:val="24"/>
          <w:lang w:val="ru"/>
        </w:rPr>
        <w:t xml:space="preserve">На момент последнего анализа выживаемости без прогрессирования (с медианным последующим наблюдением в течение 2,64 года) данные по общей выживаемости еще не были готовы, и существенные различия между группами лечения в HER2-позитивной популяции отсутствовали; эти данные не изменились с увеличением времени последующего наблюдения (медианный период последующего наблюдения &gt;7,5 лет; Таблица 7). </w:t>
      </w:r>
    </w:p>
    <w:p w14:paraId="39777957" w14:textId="20E586B1" w:rsidR="00127040" w:rsidRPr="002E17FD" w:rsidRDefault="00127040" w:rsidP="007F50B7">
      <w:pPr>
        <w:spacing w:after="0" w:line="20" w:lineRule="atLeast"/>
        <w:rPr>
          <w:rFonts w:ascii="Times New Roman" w:hAnsi="Times New Roman"/>
          <w:b/>
          <w:sz w:val="24"/>
          <w:szCs w:val="24"/>
        </w:rPr>
      </w:pPr>
      <w:r w:rsidRPr="002E17FD">
        <w:rPr>
          <w:rFonts w:ascii="Times New Roman" w:hAnsi="Times New Roman"/>
          <w:b/>
          <w:bCs/>
          <w:sz w:val="24"/>
          <w:szCs w:val="24"/>
          <w:lang w:val="ru"/>
        </w:rPr>
        <w:t>Таблица 7. Результаты общей выживаемости, полученные из исследования EGF30008 (только в группе с позитивным HER2)</w:t>
      </w:r>
    </w:p>
    <w:tbl>
      <w:tblPr>
        <w:tblW w:w="8997" w:type="dxa"/>
        <w:tblInd w:w="108" w:type="dxa"/>
        <w:tblCellMar>
          <w:top w:w="7" w:type="dxa"/>
          <w:right w:w="62" w:type="dxa"/>
        </w:tblCellMar>
        <w:tblLook w:val="04A0" w:firstRow="1" w:lastRow="0" w:firstColumn="1" w:lastColumn="0" w:noHBand="0" w:noVBand="1"/>
      </w:tblPr>
      <w:tblGrid>
        <w:gridCol w:w="3437"/>
        <w:gridCol w:w="2410"/>
        <w:gridCol w:w="3150"/>
      </w:tblGrid>
      <w:tr w:rsidR="00127040" w:rsidRPr="002E17FD" w14:paraId="6ECEFA4D" w14:textId="77777777" w:rsidTr="00873FF7">
        <w:trPr>
          <w:trHeight w:val="1022"/>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3776E2A3"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6E14D7F" w14:textId="26E15701" w:rsidR="00127040" w:rsidRPr="002E17FD" w:rsidRDefault="002B52AC" w:rsidP="00050E28">
            <w:pPr>
              <w:spacing w:after="0" w:line="20" w:lineRule="atLeast"/>
              <w:ind w:left="72"/>
              <w:jc w:val="center"/>
              <w:rPr>
                <w:rFonts w:ascii="Times New Roman" w:eastAsia="Times New Roman" w:hAnsi="Times New Roman"/>
                <w:sz w:val="24"/>
                <w:szCs w:val="24"/>
              </w:rPr>
            </w:pPr>
            <w:r w:rsidRPr="002E17FD">
              <w:rPr>
                <w:rFonts w:ascii="Times New Roman" w:eastAsia="Times New Roman" w:hAnsi="Times New Roman"/>
                <w:b/>
                <w:bCs/>
                <w:sz w:val="24"/>
                <w:szCs w:val="24"/>
                <w:lang w:val="ru"/>
              </w:rPr>
              <w:t>Лапатиниб</w:t>
            </w:r>
            <w:r w:rsidR="00127040" w:rsidRPr="002E17FD">
              <w:rPr>
                <w:rFonts w:ascii="Times New Roman" w:eastAsia="Times New Roman" w:hAnsi="Times New Roman"/>
                <w:b/>
                <w:bCs/>
                <w:sz w:val="24"/>
                <w:szCs w:val="24"/>
                <w:lang w:val="ru"/>
              </w:rPr>
              <w:t xml:space="preserve"> 1500 мг/сутки</w:t>
            </w:r>
          </w:p>
          <w:p w14:paraId="6C66E982" w14:textId="2DD37A03" w:rsidR="00127040" w:rsidRPr="002E17FD" w:rsidRDefault="00127040" w:rsidP="00050E28">
            <w:pPr>
              <w:spacing w:after="0" w:line="20" w:lineRule="atLeast"/>
              <w:ind w:right="50"/>
              <w:jc w:val="center"/>
              <w:rPr>
                <w:rFonts w:ascii="Times New Roman" w:eastAsia="Times New Roman" w:hAnsi="Times New Roman"/>
                <w:sz w:val="24"/>
                <w:szCs w:val="24"/>
              </w:rPr>
            </w:pPr>
            <w:r w:rsidRPr="002E17FD">
              <w:rPr>
                <w:rFonts w:ascii="Times New Roman" w:eastAsia="Times New Roman" w:hAnsi="Times New Roman"/>
                <w:b/>
                <w:bCs/>
                <w:sz w:val="24"/>
                <w:szCs w:val="24"/>
                <w:lang w:val="ru"/>
              </w:rPr>
              <w:t>+ Летрозол 2,5 мг</w:t>
            </w:r>
          </w:p>
          <w:p w14:paraId="43192167" w14:textId="24FC905B" w:rsidR="00127040" w:rsidRPr="002E17FD" w:rsidRDefault="00127040" w:rsidP="00050E28">
            <w:pPr>
              <w:spacing w:after="0" w:line="20" w:lineRule="atLeast"/>
              <w:ind w:right="48"/>
              <w:jc w:val="center"/>
              <w:rPr>
                <w:rFonts w:ascii="Times New Roman" w:eastAsia="Times New Roman" w:hAnsi="Times New Roman"/>
                <w:sz w:val="24"/>
                <w:szCs w:val="24"/>
              </w:rPr>
            </w:pPr>
            <w:r w:rsidRPr="002E17FD">
              <w:rPr>
                <w:rFonts w:ascii="Times New Roman" w:eastAsia="Times New Roman" w:hAnsi="Times New Roman"/>
                <w:b/>
                <w:bCs/>
                <w:sz w:val="24"/>
                <w:szCs w:val="24"/>
                <w:lang w:val="ru"/>
              </w:rPr>
              <w:t>/сутки</w:t>
            </w:r>
          </w:p>
          <w:p w14:paraId="36234BF4" w14:textId="083ACB4A" w:rsidR="00127040" w:rsidRPr="002E17FD" w:rsidRDefault="00127040" w:rsidP="00050E28">
            <w:pPr>
              <w:spacing w:after="0" w:line="20" w:lineRule="atLeast"/>
              <w:ind w:right="51"/>
              <w:jc w:val="center"/>
              <w:rPr>
                <w:rFonts w:ascii="Times New Roman" w:eastAsia="Times New Roman" w:hAnsi="Times New Roman"/>
                <w:sz w:val="24"/>
                <w:szCs w:val="24"/>
              </w:rPr>
            </w:pPr>
            <w:r w:rsidRPr="002E17FD">
              <w:rPr>
                <w:rFonts w:ascii="Times New Roman" w:eastAsia="Times New Roman" w:hAnsi="Times New Roman"/>
                <w:b/>
                <w:bCs/>
                <w:sz w:val="24"/>
                <w:szCs w:val="24"/>
                <w:lang w:val="ru"/>
              </w:rPr>
              <w:t>N = 111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032599D3" w14:textId="57BCD094" w:rsidR="00127040" w:rsidRPr="002E17FD" w:rsidRDefault="00127040" w:rsidP="00050E28">
            <w:pPr>
              <w:spacing w:after="0" w:line="20" w:lineRule="atLeast"/>
              <w:ind w:right="41"/>
              <w:jc w:val="center"/>
              <w:rPr>
                <w:rFonts w:ascii="Times New Roman" w:eastAsia="Times New Roman" w:hAnsi="Times New Roman"/>
                <w:sz w:val="24"/>
                <w:szCs w:val="24"/>
              </w:rPr>
            </w:pPr>
            <w:r w:rsidRPr="002E17FD">
              <w:rPr>
                <w:rFonts w:ascii="Times New Roman" w:eastAsia="Times New Roman" w:hAnsi="Times New Roman"/>
                <w:b/>
                <w:bCs/>
                <w:sz w:val="24"/>
                <w:szCs w:val="24"/>
                <w:lang w:val="ru"/>
              </w:rPr>
              <w:t>Летрозол 2,5 мг/день</w:t>
            </w:r>
          </w:p>
          <w:p w14:paraId="548AE062" w14:textId="019AB368" w:rsidR="00127040" w:rsidRPr="002E17FD" w:rsidRDefault="00127040" w:rsidP="00050E28">
            <w:pPr>
              <w:spacing w:after="0" w:line="20" w:lineRule="atLeast"/>
              <w:ind w:left="708" w:right="698"/>
              <w:jc w:val="center"/>
              <w:rPr>
                <w:rFonts w:ascii="Times New Roman" w:eastAsia="Times New Roman" w:hAnsi="Times New Roman"/>
                <w:sz w:val="24"/>
                <w:szCs w:val="24"/>
              </w:rPr>
            </w:pPr>
            <w:r w:rsidRPr="002E17FD">
              <w:rPr>
                <w:rFonts w:ascii="Times New Roman" w:eastAsia="Times New Roman" w:hAnsi="Times New Roman"/>
                <w:b/>
                <w:bCs/>
                <w:sz w:val="24"/>
                <w:szCs w:val="24"/>
                <w:lang w:val="ru"/>
              </w:rPr>
              <w:t>+ плацебо N = 108</w:t>
            </w:r>
          </w:p>
        </w:tc>
      </w:tr>
      <w:tr w:rsidR="00127040" w:rsidRPr="002E17FD" w14:paraId="6846CD71" w14:textId="77777777" w:rsidTr="00873FF7">
        <w:trPr>
          <w:trHeight w:val="262"/>
        </w:trPr>
        <w:tc>
          <w:tcPr>
            <w:tcW w:w="8997" w:type="dxa"/>
            <w:gridSpan w:val="3"/>
            <w:tcBorders>
              <w:top w:val="single" w:sz="4" w:space="0" w:color="000000"/>
              <w:left w:val="single" w:sz="4" w:space="0" w:color="000000"/>
              <w:bottom w:val="single" w:sz="4" w:space="0" w:color="000000"/>
              <w:right w:val="single" w:sz="4" w:space="0" w:color="000000"/>
            </w:tcBorders>
            <w:shd w:val="clear" w:color="auto" w:fill="auto"/>
          </w:tcPr>
          <w:p w14:paraId="15653FA1"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Предварительно запланированный анализ общей выживаемости (проведенный на момент выполнения анализа выживаемости без прогрессирования 03 июня 2008 г.) </w:t>
            </w:r>
          </w:p>
        </w:tc>
      </w:tr>
      <w:tr w:rsidR="00127040" w:rsidRPr="002E17FD" w14:paraId="7C8C51FE" w14:textId="77777777" w:rsidTr="00873FF7">
        <w:trPr>
          <w:trHeight w:val="265"/>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7F444C9A"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Среднее значение последующего наблюдения (годы)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A3BA701" w14:textId="52959802" w:rsidR="00127040" w:rsidRPr="002E17FD" w:rsidRDefault="00127040" w:rsidP="007F50B7">
            <w:pPr>
              <w:spacing w:after="0" w:line="20" w:lineRule="atLeast"/>
              <w:ind w:right="48"/>
              <w:rPr>
                <w:rFonts w:ascii="Times New Roman" w:eastAsia="Times New Roman" w:hAnsi="Times New Roman"/>
                <w:sz w:val="24"/>
                <w:szCs w:val="24"/>
              </w:rPr>
            </w:pPr>
            <w:r w:rsidRPr="002E17FD">
              <w:rPr>
                <w:rFonts w:ascii="Times New Roman" w:eastAsia="Times New Roman" w:hAnsi="Times New Roman"/>
                <w:sz w:val="24"/>
                <w:szCs w:val="24"/>
                <w:lang w:val="ru"/>
              </w:rPr>
              <w:t>2,64</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5D82C354" w14:textId="4FF556CF" w:rsidR="00127040" w:rsidRPr="002E17FD" w:rsidRDefault="00127040" w:rsidP="007F50B7">
            <w:pPr>
              <w:spacing w:after="0" w:line="20" w:lineRule="atLeast"/>
              <w:ind w:right="44"/>
              <w:rPr>
                <w:rFonts w:ascii="Times New Roman" w:eastAsia="Times New Roman" w:hAnsi="Times New Roman"/>
                <w:sz w:val="24"/>
                <w:szCs w:val="24"/>
              </w:rPr>
            </w:pPr>
            <w:r w:rsidRPr="002E17FD">
              <w:rPr>
                <w:rFonts w:ascii="Times New Roman" w:eastAsia="Times New Roman" w:hAnsi="Times New Roman"/>
                <w:sz w:val="24"/>
                <w:szCs w:val="24"/>
                <w:lang w:val="ru"/>
              </w:rPr>
              <w:t>2,64</w:t>
            </w:r>
          </w:p>
        </w:tc>
      </w:tr>
      <w:tr w:rsidR="00127040" w:rsidRPr="002E17FD" w14:paraId="0DA7A364" w14:textId="77777777" w:rsidTr="00873FF7">
        <w:trPr>
          <w:trHeight w:val="262"/>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2E326D5E" w14:textId="77777777" w:rsidR="00127040" w:rsidRPr="002E17FD" w:rsidRDefault="00127040" w:rsidP="00873FF7">
            <w:pPr>
              <w:spacing w:after="0" w:line="20" w:lineRule="atLeast"/>
              <w:ind w:left="254"/>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 xml:space="preserve">Смертность (%)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9A7ECC" w14:textId="12102FB3" w:rsidR="00127040" w:rsidRPr="002E17FD" w:rsidRDefault="00127040" w:rsidP="007F50B7">
            <w:pPr>
              <w:spacing w:after="0" w:line="20" w:lineRule="atLeast"/>
              <w:ind w:right="47"/>
              <w:rPr>
                <w:rFonts w:ascii="Times New Roman" w:eastAsia="Times New Roman" w:hAnsi="Times New Roman"/>
                <w:sz w:val="24"/>
                <w:szCs w:val="24"/>
              </w:rPr>
            </w:pPr>
            <w:r w:rsidRPr="002E17FD">
              <w:rPr>
                <w:rFonts w:ascii="Times New Roman" w:eastAsia="Times New Roman" w:hAnsi="Times New Roman"/>
                <w:sz w:val="24"/>
                <w:szCs w:val="24"/>
                <w:lang w:val="ru"/>
              </w:rPr>
              <w:t>50 (45)</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44FF352C" w14:textId="12029A1B" w:rsidR="00127040" w:rsidRPr="002E17FD" w:rsidRDefault="00127040" w:rsidP="007F50B7">
            <w:pPr>
              <w:spacing w:after="0" w:line="20" w:lineRule="atLeast"/>
              <w:ind w:right="43"/>
              <w:rPr>
                <w:rFonts w:ascii="Times New Roman" w:eastAsia="Times New Roman" w:hAnsi="Times New Roman"/>
                <w:sz w:val="24"/>
                <w:szCs w:val="24"/>
              </w:rPr>
            </w:pPr>
            <w:r w:rsidRPr="002E17FD">
              <w:rPr>
                <w:rFonts w:ascii="Times New Roman" w:eastAsia="Times New Roman" w:hAnsi="Times New Roman"/>
                <w:sz w:val="24"/>
                <w:szCs w:val="24"/>
                <w:lang w:val="ru"/>
              </w:rPr>
              <w:t>54 (50)</w:t>
            </w:r>
          </w:p>
        </w:tc>
      </w:tr>
      <w:tr w:rsidR="00127040" w:rsidRPr="002E17FD" w14:paraId="3EA90807" w14:textId="77777777" w:rsidTr="00873FF7">
        <w:trPr>
          <w:trHeight w:val="264"/>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7333F4F6" w14:textId="77777777" w:rsidR="00127040" w:rsidRPr="002E17FD" w:rsidRDefault="00127040" w:rsidP="00873FF7">
            <w:pPr>
              <w:spacing w:after="0" w:line="20" w:lineRule="atLeast"/>
              <w:ind w:right="55"/>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Соотношение риска</w:t>
            </w:r>
            <w:r w:rsidRPr="002E17FD">
              <w:rPr>
                <w:rFonts w:ascii="Times New Roman" w:eastAsia="Times New Roman" w:hAnsi="Times New Roman"/>
                <w:b/>
                <w:bCs/>
                <w:sz w:val="24"/>
                <w:szCs w:val="24"/>
                <w:vertAlign w:val="superscript"/>
                <w:lang w:val="ru"/>
              </w:rPr>
              <w:t>a</w:t>
            </w:r>
            <w:r w:rsidRPr="002E17FD">
              <w:rPr>
                <w:rFonts w:ascii="Times New Roman" w:eastAsia="Times New Roman" w:hAnsi="Times New Roman"/>
                <w:b/>
                <w:bCs/>
                <w:sz w:val="24"/>
                <w:szCs w:val="24"/>
                <w:lang w:val="ru"/>
              </w:rPr>
              <w:t xml:space="preserve"> (95% CI), р-показатель</w:t>
            </w:r>
            <w:r w:rsidRPr="002E17FD">
              <w:rPr>
                <w:rFonts w:ascii="Times New Roman" w:eastAsia="Times New Roman" w:hAnsi="Times New Roman"/>
                <w:b/>
                <w:bCs/>
                <w:sz w:val="24"/>
                <w:szCs w:val="24"/>
                <w:vertAlign w:val="superscript"/>
                <w:lang w:val="ru"/>
              </w:rPr>
              <w:t>b</w:t>
            </w:r>
            <w:r w:rsidRPr="002E17FD">
              <w:rPr>
                <w:rFonts w:ascii="Times New Roman" w:eastAsia="Times New Roman" w:hAnsi="Times New Roman"/>
                <w:sz w:val="24"/>
                <w:szCs w:val="24"/>
                <w:lang w:val="ru"/>
              </w:rPr>
              <w:t xml:space="preserve"> </w:t>
            </w:r>
          </w:p>
        </w:tc>
        <w:tc>
          <w:tcPr>
            <w:tcW w:w="5560" w:type="dxa"/>
            <w:gridSpan w:val="2"/>
            <w:tcBorders>
              <w:top w:val="single" w:sz="4" w:space="0" w:color="000000"/>
              <w:left w:val="single" w:sz="4" w:space="0" w:color="000000"/>
              <w:bottom w:val="single" w:sz="4" w:space="0" w:color="000000"/>
              <w:right w:val="single" w:sz="4" w:space="0" w:color="000000"/>
            </w:tcBorders>
            <w:shd w:val="clear" w:color="auto" w:fill="auto"/>
          </w:tcPr>
          <w:p w14:paraId="2B498611" w14:textId="08DEBA81" w:rsidR="00127040" w:rsidRPr="002E17FD" w:rsidRDefault="00127040" w:rsidP="007F50B7">
            <w:pPr>
              <w:spacing w:after="0" w:line="20" w:lineRule="atLeast"/>
              <w:ind w:right="49"/>
              <w:rPr>
                <w:rFonts w:ascii="Times New Roman" w:eastAsia="Times New Roman" w:hAnsi="Times New Roman"/>
                <w:sz w:val="24"/>
                <w:szCs w:val="24"/>
              </w:rPr>
            </w:pPr>
            <w:r w:rsidRPr="002E17FD">
              <w:rPr>
                <w:rFonts w:ascii="Times New Roman" w:eastAsia="Times New Roman" w:hAnsi="Times New Roman"/>
                <w:sz w:val="24"/>
                <w:szCs w:val="24"/>
                <w:lang w:val="ru"/>
              </w:rPr>
              <w:t>0,77 (0,52; 1,14); 0,185</w:t>
            </w:r>
          </w:p>
        </w:tc>
      </w:tr>
      <w:tr w:rsidR="00127040" w:rsidRPr="002E17FD" w14:paraId="73560981" w14:textId="77777777" w:rsidTr="00873FF7">
        <w:trPr>
          <w:trHeight w:val="262"/>
        </w:trPr>
        <w:tc>
          <w:tcPr>
            <w:tcW w:w="8997" w:type="dxa"/>
            <w:gridSpan w:val="3"/>
            <w:tcBorders>
              <w:top w:val="single" w:sz="4" w:space="0" w:color="000000"/>
              <w:left w:val="single" w:sz="4" w:space="0" w:color="000000"/>
              <w:bottom w:val="single" w:sz="4" w:space="0" w:color="000000"/>
              <w:right w:val="single" w:sz="4" w:space="0" w:color="000000"/>
            </w:tcBorders>
            <w:shd w:val="clear" w:color="auto" w:fill="auto"/>
          </w:tcPr>
          <w:p w14:paraId="75A5C3D0"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lastRenderedPageBreak/>
              <w:t xml:space="preserve">Финальный анализ общей выживаемости (вторичный анализ 07 августа 2013 г.) </w:t>
            </w:r>
          </w:p>
        </w:tc>
      </w:tr>
      <w:tr w:rsidR="00127040" w:rsidRPr="002E17FD" w14:paraId="4547DE04" w14:textId="77777777" w:rsidTr="00873FF7">
        <w:trPr>
          <w:trHeight w:val="264"/>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46B79F4F"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Среднее значение последующего наблюдения (годы)</w:t>
            </w:r>
            <w:r w:rsidRPr="002E17FD">
              <w:rPr>
                <w:rFonts w:ascii="Times New Roman" w:eastAsia="Times New Roman" w:hAnsi="Times New Roman"/>
                <w:sz w:val="24"/>
                <w:szCs w:val="24"/>
                <w:lang w:val="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D6786E0" w14:textId="63A59F48" w:rsidR="00127040" w:rsidRPr="002E17FD" w:rsidRDefault="00127040" w:rsidP="007F50B7">
            <w:pPr>
              <w:spacing w:after="0" w:line="20" w:lineRule="atLeast"/>
              <w:ind w:right="48"/>
              <w:rPr>
                <w:rFonts w:ascii="Times New Roman" w:eastAsia="Times New Roman" w:hAnsi="Times New Roman"/>
                <w:sz w:val="24"/>
                <w:szCs w:val="24"/>
              </w:rPr>
            </w:pPr>
            <w:r w:rsidRPr="002E17FD">
              <w:rPr>
                <w:rFonts w:ascii="Times New Roman" w:eastAsia="Times New Roman" w:hAnsi="Times New Roman"/>
                <w:sz w:val="24"/>
                <w:szCs w:val="24"/>
                <w:lang w:val="ru"/>
              </w:rPr>
              <w:t>7,78</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57ADE570" w14:textId="4C5EE4AE" w:rsidR="00127040" w:rsidRPr="002E17FD" w:rsidRDefault="00127040" w:rsidP="007F50B7">
            <w:pPr>
              <w:spacing w:after="0" w:line="20" w:lineRule="atLeast"/>
              <w:ind w:right="44"/>
              <w:rPr>
                <w:rFonts w:ascii="Times New Roman" w:eastAsia="Times New Roman" w:hAnsi="Times New Roman"/>
                <w:sz w:val="24"/>
                <w:szCs w:val="24"/>
              </w:rPr>
            </w:pPr>
            <w:r w:rsidRPr="002E17FD">
              <w:rPr>
                <w:rFonts w:ascii="Times New Roman" w:eastAsia="Times New Roman" w:hAnsi="Times New Roman"/>
                <w:sz w:val="24"/>
                <w:szCs w:val="24"/>
                <w:lang w:val="ru"/>
              </w:rPr>
              <w:t>7,55</w:t>
            </w:r>
          </w:p>
        </w:tc>
      </w:tr>
      <w:tr w:rsidR="00127040" w:rsidRPr="002E17FD" w14:paraId="126BF872" w14:textId="77777777" w:rsidTr="00873FF7">
        <w:trPr>
          <w:trHeight w:val="264"/>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711D219B" w14:textId="77777777" w:rsidR="00127040" w:rsidRPr="002E17FD" w:rsidRDefault="00127040" w:rsidP="00873FF7">
            <w:pPr>
              <w:spacing w:after="0" w:line="20" w:lineRule="atLeast"/>
              <w:ind w:left="254"/>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Смертность (%)</w:t>
            </w:r>
            <w:r w:rsidRPr="002E17FD">
              <w:rPr>
                <w:rFonts w:ascii="Times New Roman" w:eastAsia="Times New Roman" w:hAnsi="Times New Roman"/>
                <w:sz w:val="24"/>
                <w:szCs w:val="24"/>
                <w:lang w:val="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9F3591" w14:textId="63DC84BD" w:rsidR="00127040" w:rsidRPr="002E17FD" w:rsidRDefault="00127040" w:rsidP="007F50B7">
            <w:pPr>
              <w:spacing w:after="0" w:line="20" w:lineRule="atLeast"/>
              <w:ind w:right="47"/>
              <w:rPr>
                <w:rFonts w:ascii="Times New Roman" w:eastAsia="Times New Roman" w:hAnsi="Times New Roman"/>
                <w:sz w:val="24"/>
                <w:szCs w:val="24"/>
              </w:rPr>
            </w:pPr>
            <w:r w:rsidRPr="002E17FD">
              <w:rPr>
                <w:rFonts w:ascii="Times New Roman" w:eastAsia="Times New Roman" w:hAnsi="Times New Roman"/>
                <w:sz w:val="24"/>
                <w:szCs w:val="24"/>
                <w:lang w:val="ru"/>
              </w:rPr>
              <w:t>86 (77)</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47D6B1B3" w14:textId="6F77D714" w:rsidR="00127040" w:rsidRPr="002E17FD" w:rsidRDefault="00127040" w:rsidP="007F50B7">
            <w:pPr>
              <w:spacing w:after="0" w:line="20" w:lineRule="atLeast"/>
              <w:ind w:right="43"/>
              <w:rPr>
                <w:rFonts w:ascii="Times New Roman" w:eastAsia="Times New Roman" w:hAnsi="Times New Roman"/>
                <w:sz w:val="24"/>
                <w:szCs w:val="24"/>
              </w:rPr>
            </w:pPr>
            <w:r w:rsidRPr="002E17FD">
              <w:rPr>
                <w:rFonts w:ascii="Times New Roman" w:eastAsia="Times New Roman" w:hAnsi="Times New Roman"/>
                <w:sz w:val="24"/>
                <w:szCs w:val="24"/>
                <w:lang w:val="ru"/>
              </w:rPr>
              <w:t>78 (72)</w:t>
            </w:r>
          </w:p>
        </w:tc>
      </w:tr>
      <w:tr w:rsidR="00127040" w:rsidRPr="002E17FD" w14:paraId="28CE9916" w14:textId="77777777" w:rsidTr="00873FF7">
        <w:trPr>
          <w:trHeight w:val="262"/>
        </w:trPr>
        <w:tc>
          <w:tcPr>
            <w:tcW w:w="3437" w:type="dxa"/>
            <w:tcBorders>
              <w:top w:val="single" w:sz="4" w:space="0" w:color="000000"/>
              <w:left w:val="single" w:sz="4" w:space="0" w:color="000000"/>
              <w:bottom w:val="single" w:sz="4" w:space="0" w:color="000000"/>
              <w:right w:val="single" w:sz="4" w:space="0" w:color="000000"/>
            </w:tcBorders>
            <w:shd w:val="clear" w:color="auto" w:fill="auto"/>
          </w:tcPr>
          <w:p w14:paraId="5326EDC7" w14:textId="77777777" w:rsidR="00127040" w:rsidRPr="002E17FD" w:rsidRDefault="00127040" w:rsidP="00873FF7">
            <w:pPr>
              <w:spacing w:after="0" w:line="20" w:lineRule="atLeast"/>
              <w:ind w:left="52"/>
              <w:jc w:val="both"/>
              <w:rPr>
                <w:rFonts w:ascii="Times New Roman" w:eastAsia="Times New Roman" w:hAnsi="Times New Roman"/>
                <w:sz w:val="24"/>
                <w:szCs w:val="24"/>
              </w:rPr>
            </w:pPr>
            <w:r w:rsidRPr="002E17FD">
              <w:rPr>
                <w:rFonts w:ascii="Times New Roman" w:eastAsia="Times New Roman" w:hAnsi="Times New Roman"/>
                <w:b/>
                <w:bCs/>
                <w:sz w:val="24"/>
                <w:szCs w:val="24"/>
                <w:lang w:val="ru"/>
              </w:rPr>
              <w:t>Соотношение риска (95% CI), р-показатель</w:t>
            </w:r>
            <w:r w:rsidRPr="002E17FD">
              <w:rPr>
                <w:rFonts w:ascii="Times New Roman" w:eastAsia="Times New Roman" w:hAnsi="Times New Roman"/>
                <w:sz w:val="24"/>
                <w:szCs w:val="24"/>
                <w:lang w:val="ru"/>
              </w:rPr>
              <w:t xml:space="preserve"> </w:t>
            </w:r>
          </w:p>
        </w:tc>
        <w:tc>
          <w:tcPr>
            <w:tcW w:w="5560" w:type="dxa"/>
            <w:gridSpan w:val="2"/>
            <w:tcBorders>
              <w:top w:val="single" w:sz="4" w:space="0" w:color="000000"/>
              <w:left w:val="single" w:sz="4" w:space="0" w:color="000000"/>
              <w:bottom w:val="single" w:sz="4" w:space="0" w:color="000000"/>
              <w:right w:val="single" w:sz="4" w:space="0" w:color="000000"/>
            </w:tcBorders>
            <w:shd w:val="clear" w:color="auto" w:fill="auto"/>
          </w:tcPr>
          <w:p w14:paraId="177CC642" w14:textId="1DDD42F8" w:rsidR="00127040" w:rsidRPr="002E17FD" w:rsidRDefault="00127040" w:rsidP="007F50B7">
            <w:pPr>
              <w:spacing w:after="0" w:line="20" w:lineRule="atLeast"/>
              <w:ind w:right="49"/>
              <w:rPr>
                <w:rFonts w:ascii="Times New Roman" w:eastAsia="Times New Roman" w:hAnsi="Times New Roman"/>
                <w:sz w:val="24"/>
                <w:szCs w:val="24"/>
              </w:rPr>
            </w:pPr>
            <w:r w:rsidRPr="002E17FD">
              <w:rPr>
                <w:rFonts w:ascii="Times New Roman" w:eastAsia="Times New Roman" w:hAnsi="Times New Roman"/>
                <w:sz w:val="24"/>
                <w:szCs w:val="24"/>
                <w:lang w:val="ru"/>
              </w:rPr>
              <w:t>0,97 (0,07; 1,33); 0,848</w:t>
            </w:r>
          </w:p>
        </w:tc>
      </w:tr>
      <w:tr w:rsidR="00127040" w:rsidRPr="002E17FD" w14:paraId="19BD5915" w14:textId="77777777" w:rsidTr="00873FF7">
        <w:trPr>
          <w:trHeight w:val="1529"/>
        </w:trPr>
        <w:tc>
          <w:tcPr>
            <w:tcW w:w="8997" w:type="dxa"/>
            <w:gridSpan w:val="3"/>
            <w:tcBorders>
              <w:top w:val="single" w:sz="4" w:space="0" w:color="000000"/>
              <w:left w:val="single" w:sz="4" w:space="0" w:color="000000"/>
              <w:bottom w:val="single" w:sz="4" w:space="0" w:color="000000"/>
              <w:right w:val="single" w:sz="4" w:space="0" w:color="000000"/>
            </w:tcBorders>
            <w:shd w:val="clear" w:color="auto" w:fill="auto"/>
          </w:tcPr>
          <w:p w14:paraId="18D3A2EF" w14:textId="77777777" w:rsidR="00127040" w:rsidRPr="002E17FD" w:rsidRDefault="00127040" w:rsidP="00873FF7">
            <w:pPr>
              <w:spacing w:after="0" w:line="20" w:lineRule="atLeast"/>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Средние значения из анализа выживаемости Каплана-Мейера; значения соотношения рисков и р-значения в соответствии с моделью пропорциональных рисков, приспособленные для важных прогностических факторов </w:t>
            </w:r>
          </w:p>
          <w:p w14:paraId="0A1E584F" w14:textId="77777777" w:rsidR="00127040" w:rsidRPr="002E17FD" w:rsidRDefault="00127040" w:rsidP="00873FF7">
            <w:pPr>
              <w:numPr>
                <w:ilvl w:val="0"/>
                <w:numId w:val="29"/>
              </w:numPr>
              <w:spacing w:after="0" w:line="20" w:lineRule="atLeast"/>
              <w:ind w:hanging="358"/>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Оценка отношения рисков лечения, где &lt;1 указывает на меньший риск в случае применения 2,5 мг летрозола + 1500 мг лапатиниба по сравнению с 2,5 мг летрозола + плацебо. </w:t>
            </w:r>
          </w:p>
          <w:p w14:paraId="492E8BFE" w14:textId="77777777" w:rsidR="00127040" w:rsidRPr="002E17FD" w:rsidRDefault="00127040" w:rsidP="00873FF7">
            <w:pPr>
              <w:numPr>
                <w:ilvl w:val="0"/>
                <w:numId w:val="29"/>
              </w:numPr>
              <w:spacing w:after="0" w:line="20" w:lineRule="atLeast"/>
              <w:ind w:hanging="358"/>
              <w:jc w:val="both"/>
              <w:rPr>
                <w:rFonts w:ascii="Times New Roman" w:eastAsia="Times New Roman" w:hAnsi="Times New Roman"/>
                <w:sz w:val="24"/>
                <w:szCs w:val="24"/>
              </w:rPr>
            </w:pPr>
            <w:r w:rsidRPr="002E17FD">
              <w:rPr>
                <w:rFonts w:ascii="Times New Roman" w:eastAsia="Times New Roman" w:hAnsi="Times New Roman"/>
                <w:sz w:val="24"/>
                <w:szCs w:val="24"/>
                <w:lang w:val="ru"/>
              </w:rPr>
              <w:t xml:space="preserve">Р-значение из модели регрессии Кокса с разделением по области заболевания и предварительной антиадъювантной терапии при скрининге. </w:t>
            </w:r>
          </w:p>
        </w:tc>
      </w:tr>
    </w:tbl>
    <w:p w14:paraId="100F2AE3" w14:textId="77777777" w:rsidR="00127040" w:rsidRPr="002E17FD" w:rsidRDefault="00127040" w:rsidP="00127040">
      <w:pPr>
        <w:pStyle w:val="2"/>
        <w:spacing w:before="0" w:after="0" w:line="20" w:lineRule="atLeast"/>
        <w:jc w:val="both"/>
        <w:rPr>
          <w:rFonts w:ascii="Times New Roman" w:hAnsi="Times New Roman"/>
          <w:b w:val="0"/>
          <w:sz w:val="24"/>
          <w:szCs w:val="24"/>
          <w:u w:val="single"/>
        </w:rPr>
      </w:pPr>
      <w:r w:rsidRPr="002E17FD">
        <w:rPr>
          <w:rFonts w:ascii="Times New Roman" w:hAnsi="Times New Roman"/>
          <w:b w:val="0"/>
          <w:sz w:val="24"/>
          <w:szCs w:val="24"/>
          <w:u w:val="single"/>
          <w:lang w:val="ru"/>
        </w:rPr>
        <w:t xml:space="preserve">Электрофизиология сердца </w:t>
      </w:r>
    </w:p>
    <w:p w14:paraId="30ECF90B" w14:textId="77777777" w:rsidR="00127040" w:rsidRPr="002E17FD" w:rsidRDefault="00127040" w:rsidP="00127040">
      <w:pPr>
        <w:spacing w:after="0" w:line="20" w:lineRule="atLeast"/>
        <w:ind w:left="-5" w:right="7"/>
        <w:jc w:val="both"/>
        <w:rPr>
          <w:rFonts w:ascii="Times New Roman" w:hAnsi="Times New Roman"/>
          <w:sz w:val="24"/>
          <w:szCs w:val="24"/>
          <w:lang w:val="ru"/>
        </w:rPr>
      </w:pPr>
      <w:r w:rsidRPr="002E17FD">
        <w:rPr>
          <w:rFonts w:ascii="Times New Roman" w:hAnsi="Times New Roman"/>
          <w:sz w:val="24"/>
          <w:szCs w:val="24"/>
          <w:lang w:val="ru"/>
        </w:rPr>
        <w:t xml:space="preserve">Воздействие лапатиниба на интервал QT оценивалось в двойном слепом плацебо-контролируемом исследовании перекрестного типа с фиксированной последовательностью приема препарата (плацебо и активного лечения), в котором участвовали пациенты с солидными опухолями высокой стадии (EGF114271) (n=58). В течение 4-дневного периода лечения три дозы соответствующего плацебо были даны с интервалом в 12 часов утром и вечером первого дня и утром второго дня. Затем пациенты получали три дозы лапатиниба (по 2000 мг) таким же образом. Измерения, включая ЭКГ, и взятие фармакокинетических образцов выполнялись до начала исследования и в одно и то же время на 2 и 4 день. </w:t>
      </w:r>
    </w:p>
    <w:p w14:paraId="0E1AE5C7" w14:textId="77777777" w:rsidR="00127040" w:rsidRPr="002E17FD" w:rsidRDefault="00127040" w:rsidP="00127040">
      <w:pPr>
        <w:spacing w:after="0" w:line="20" w:lineRule="atLeast"/>
        <w:ind w:left="-5" w:right="7"/>
        <w:jc w:val="both"/>
        <w:rPr>
          <w:rFonts w:ascii="Times New Roman" w:hAnsi="Times New Roman"/>
          <w:sz w:val="24"/>
          <w:szCs w:val="24"/>
        </w:rPr>
      </w:pPr>
      <w:r w:rsidRPr="002E17FD">
        <w:rPr>
          <w:rFonts w:ascii="Times New Roman" w:hAnsi="Times New Roman"/>
          <w:sz w:val="24"/>
          <w:szCs w:val="24"/>
          <w:lang w:val="ru"/>
        </w:rPr>
        <w:t xml:space="preserve">В группе пациентов, допускающей оценку (n = 37), максимальное среднее значение ΔΔQTcF 8,75 мс; 90%-ный ДИ (4,08–13,42)) наблюдалось спустя 10 часов после приема третьей дозы лапатиниба (2000 мг). Наблюдалось многократное превышение порога ΔΔQTcF в 5 мс, а также выход верхней границы 90%-ного ДИ за пределы порогового значения в 10 мс. Результаты в группе пациентов фармакодинамики (n=52) соответствовали тем, что были получены для оцениваемой группы пациентов (максимальное значение ΔΔQTcF составило 7,91 мс при 90%-ном ДИ в пределах 4,13–11,68) и наблюдались спустя 10 часов после приема третьей дозы лапатиниба (2000 мг). </w:t>
      </w:r>
    </w:p>
    <w:p w14:paraId="38EDC169" w14:textId="77777777" w:rsidR="00127040" w:rsidRPr="002E17FD" w:rsidRDefault="00127040" w:rsidP="00127040">
      <w:pPr>
        <w:spacing w:after="0" w:line="20" w:lineRule="atLeast"/>
        <w:ind w:left="-5" w:right="7"/>
        <w:jc w:val="both"/>
        <w:rPr>
          <w:rFonts w:ascii="Times New Roman" w:hAnsi="Times New Roman"/>
          <w:sz w:val="24"/>
          <w:szCs w:val="24"/>
          <w:lang w:val="ru"/>
        </w:rPr>
      </w:pPr>
      <w:r w:rsidRPr="002E17FD">
        <w:rPr>
          <w:rFonts w:ascii="Times New Roman" w:hAnsi="Times New Roman"/>
          <w:sz w:val="24"/>
          <w:szCs w:val="24"/>
          <w:lang w:val="ru"/>
        </w:rPr>
        <w:t>Имеется положительная связь меду концентрациями лапатиниба в плазме и значением ΔΔQTcF. Максимальная средняя концентрация лапатиниба в плазме составляла 3920 (3450–4460) нг/мл (геометрическое среднее/95% ДИ), что превышало среднее геометрическое значение C</w:t>
      </w:r>
      <w:r w:rsidRPr="002E17FD">
        <w:rPr>
          <w:rFonts w:ascii="Times New Roman" w:hAnsi="Times New Roman"/>
          <w:sz w:val="24"/>
          <w:szCs w:val="24"/>
          <w:vertAlign w:val="subscript"/>
          <w:lang w:val="ru"/>
        </w:rPr>
        <w:t>max.ss</w:t>
      </w:r>
      <w:r w:rsidRPr="002E17FD">
        <w:rPr>
          <w:rFonts w:ascii="Times New Roman" w:hAnsi="Times New Roman"/>
          <w:sz w:val="24"/>
          <w:szCs w:val="24"/>
          <w:lang w:val="ru"/>
        </w:rPr>
        <w:t xml:space="preserve"> и значения, наблюдаемые для 95%-го ДИ при соблюдении утвержденного режима приема. Дополнительное увеличение пикового воздействия лапатиниба можно предполагать в тех случаях, когда лапатиниб принимается неоднократно вместе с пищей (см. разделы 4.2 и 5.2) или в одно и то же время с сильными ингибиторами CYP3A4. При совместном приеме лапатиниба и сильных ингибиторов CYP3A4 можно ожидать увеличения интервала QTc на 16,1 мс (12,6–20,3 мс), как это было продемонстрировано в прогнозе, основанном на моделировании (см. раздел 4.4). </w:t>
      </w:r>
    </w:p>
    <w:p w14:paraId="1421A2E1" w14:textId="77777777" w:rsidR="00127040" w:rsidRPr="002E17FD" w:rsidRDefault="00127040" w:rsidP="00127040">
      <w:pPr>
        <w:spacing w:after="0" w:line="20" w:lineRule="atLeast"/>
        <w:ind w:left="-5" w:right="7"/>
        <w:jc w:val="both"/>
        <w:rPr>
          <w:rFonts w:ascii="Times New Roman" w:hAnsi="Times New Roman"/>
          <w:sz w:val="24"/>
          <w:szCs w:val="24"/>
        </w:rPr>
      </w:pPr>
      <w:r w:rsidRPr="002E17FD">
        <w:rPr>
          <w:rFonts w:ascii="Times New Roman" w:hAnsi="Times New Roman"/>
          <w:i/>
          <w:iCs/>
          <w:sz w:val="24"/>
          <w:szCs w:val="24"/>
          <w:lang w:val="ru"/>
        </w:rPr>
        <w:t xml:space="preserve">Влияние пищи на экспозицию лапатиниба </w:t>
      </w:r>
    </w:p>
    <w:p w14:paraId="69723B06" w14:textId="6382FB5F" w:rsidR="00127040" w:rsidRPr="002E17FD" w:rsidRDefault="00127040" w:rsidP="00127040">
      <w:pPr>
        <w:spacing w:after="0" w:line="20" w:lineRule="atLeast"/>
        <w:jc w:val="both"/>
        <w:rPr>
          <w:rFonts w:ascii="Times New Roman" w:hAnsi="Times New Roman"/>
          <w:sz w:val="24"/>
          <w:szCs w:val="24"/>
          <w:lang w:val="ru"/>
        </w:rPr>
      </w:pPr>
      <w:r w:rsidRPr="002E17FD">
        <w:rPr>
          <w:rFonts w:ascii="Times New Roman" w:hAnsi="Times New Roman"/>
          <w:sz w:val="24"/>
          <w:szCs w:val="24"/>
          <w:lang w:val="ru"/>
        </w:rPr>
        <w:t>Биодоступность и соответственно концентрация лапатиниба в плазме увеличиваются в зависимости от содержания и времени приема пищи. Прием лапатиниба через час после еды приводит к системному воздействию, которое приблизительно в 2–3 раза выше по сравнению с приемом лапатиниба за один час до еды</w:t>
      </w:r>
      <w:r w:rsidR="004F3663" w:rsidRPr="002E17FD">
        <w:rPr>
          <w:rFonts w:ascii="Times New Roman" w:hAnsi="Times New Roman"/>
          <w:sz w:val="24"/>
          <w:szCs w:val="24"/>
          <w:lang w:val="ru"/>
        </w:rPr>
        <w:t>.</w:t>
      </w:r>
    </w:p>
    <w:p w14:paraId="32F254F0" w14:textId="21A04EAA" w:rsidR="00050E28" w:rsidRPr="002E17FD" w:rsidRDefault="00050E28" w:rsidP="00127040">
      <w:pPr>
        <w:spacing w:after="0" w:line="20" w:lineRule="atLeast"/>
        <w:jc w:val="both"/>
        <w:rPr>
          <w:rFonts w:ascii="Times New Roman" w:hAnsi="Times New Roman"/>
          <w:sz w:val="24"/>
          <w:szCs w:val="24"/>
          <w:lang w:val="ru"/>
        </w:rPr>
      </w:pPr>
      <w:r w:rsidRPr="002E17FD">
        <w:rPr>
          <w:rFonts w:ascii="Times New Roman" w:hAnsi="Times New Roman"/>
          <w:sz w:val="24"/>
          <w:szCs w:val="24"/>
          <w:lang w:val="ru"/>
        </w:rPr>
        <w:t xml:space="preserve">Европейское агентство по лекарственным средствам отказалось от обязательств предоставлять результаты исследований с применением лапатиниба во всех подгруппах </w:t>
      </w:r>
      <w:r w:rsidRPr="002E17FD">
        <w:rPr>
          <w:rFonts w:ascii="Times New Roman" w:hAnsi="Times New Roman"/>
          <w:sz w:val="24"/>
          <w:szCs w:val="24"/>
          <w:lang w:val="ru"/>
        </w:rPr>
        <w:lastRenderedPageBreak/>
        <w:t>детской популяции при лечении рака молочной железы (см. раздел 4.2 для получения информации о применении препарата в педиатрии).</w:t>
      </w:r>
    </w:p>
    <w:p w14:paraId="5E4F323D" w14:textId="77777777" w:rsidR="00C153F2" w:rsidRPr="002E17FD" w:rsidRDefault="00C153F2" w:rsidP="0078568D">
      <w:pPr>
        <w:autoSpaceDE w:val="0"/>
        <w:autoSpaceDN w:val="0"/>
        <w:adjustRightInd w:val="0"/>
        <w:spacing w:after="0" w:line="240" w:lineRule="auto"/>
        <w:rPr>
          <w:rFonts w:ascii="Times New Roman" w:eastAsia="TimesNewRomanPSMT" w:hAnsi="Times New Roman"/>
          <w:b/>
          <w:sz w:val="24"/>
          <w:szCs w:val="24"/>
          <w:lang w:eastAsia="ru-RU"/>
        </w:rPr>
      </w:pPr>
      <w:r w:rsidRPr="002E17FD">
        <w:rPr>
          <w:rFonts w:ascii="Times New Roman" w:hAnsi="Times New Roman"/>
          <w:b/>
          <w:sz w:val="24"/>
          <w:szCs w:val="24"/>
          <w:lang w:eastAsia="ru-RU"/>
        </w:rPr>
        <w:t xml:space="preserve">5.2 </w:t>
      </w:r>
      <w:r w:rsidR="00DD5E3A" w:rsidRPr="002E17FD">
        <w:rPr>
          <w:rFonts w:ascii="Times New Roman" w:eastAsia="TimesNewRomanPSMT" w:hAnsi="Times New Roman"/>
          <w:b/>
          <w:sz w:val="24"/>
          <w:szCs w:val="24"/>
          <w:lang w:eastAsia="ru-RU"/>
        </w:rPr>
        <w:t>Фармакокинетические свойства</w:t>
      </w:r>
    </w:p>
    <w:p w14:paraId="1F473EEE" w14:textId="77777777" w:rsidR="00886CC6" w:rsidRPr="002E17FD" w:rsidRDefault="00886CC6" w:rsidP="00886CC6">
      <w:pPr>
        <w:adjustRightInd w:val="0"/>
        <w:snapToGrid w:val="0"/>
        <w:spacing w:after="0" w:line="240" w:lineRule="auto"/>
        <w:jc w:val="both"/>
        <w:rPr>
          <w:rFonts w:ascii="Times New Roman" w:hAnsi="Times New Roman"/>
          <w:sz w:val="24"/>
        </w:rPr>
      </w:pPr>
      <w:r w:rsidRPr="002E17FD">
        <w:rPr>
          <w:rFonts w:ascii="Times New Roman" w:hAnsi="Times New Roman"/>
          <w:i/>
          <w:sz w:val="24"/>
          <w:lang w:val="ru"/>
        </w:rPr>
        <w:t xml:space="preserve">Абсорбция </w:t>
      </w:r>
    </w:p>
    <w:p w14:paraId="0B45F21A" w14:textId="77777777" w:rsidR="00886CC6" w:rsidRPr="002E17FD" w:rsidRDefault="00886CC6" w:rsidP="00886CC6">
      <w:pPr>
        <w:spacing w:after="0" w:line="240" w:lineRule="auto"/>
        <w:jc w:val="both"/>
        <w:rPr>
          <w:rFonts w:ascii="Times New Roman" w:hAnsi="Times New Roman"/>
          <w:sz w:val="24"/>
        </w:rPr>
      </w:pPr>
      <w:r w:rsidRPr="002E17FD">
        <w:rPr>
          <w:rFonts w:ascii="Times New Roman" w:hAnsi="Times New Roman"/>
          <w:sz w:val="24"/>
          <w:lang w:val="ru"/>
        </w:rPr>
        <w:t>Абсолютная биодоступность лапатиниба после приема внутрь неизвестна, но является неполной и варьируется (коэффициент вариаций составляет приблизительно 70% в АUC). Определяется в системном кровотоке в среднем через 0,25 часа (диапазон 0 – 1,5 часов). Максимальная концентрация лапатиниба в плазме крови (С</w:t>
      </w:r>
      <w:r w:rsidRPr="002E17FD">
        <w:rPr>
          <w:rFonts w:ascii="Times New Roman" w:hAnsi="Times New Roman"/>
          <w:sz w:val="24"/>
          <w:vertAlign w:val="subscript"/>
          <w:lang w:val="ru"/>
        </w:rPr>
        <w:t>mах</w:t>
      </w:r>
      <w:r w:rsidRPr="002E17FD">
        <w:rPr>
          <w:rFonts w:ascii="Times New Roman" w:hAnsi="Times New Roman"/>
          <w:sz w:val="24"/>
          <w:lang w:val="ru"/>
        </w:rPr>
        <w:t>) достигается примерно через 4 часа после приема. Суточная доза 1250 мг составляет среднее геометрическое (коэффициент вариации) C</w:t>
      </w:r>
      <w:r w:rsidRPr="002E17FD">
        <w:rPr>
          <w:rFonts w:ascii="Times New Roman" w:hAnsi="Times New Roman"/>
          <w:sz w:val="24"/>
          <w:vertAlign w:val="subscript"/>
          <w:lang w:val="ru"/>
        </w:rPr>
        <w:t>max</w:t>
      </w:r>
      <w:r w:rsidRPr="002E17FD">
        <w:rPr>
          <w:rFonts w:ascii="Times New Roman" w:hAnsi="Times New Roman"/>
          <w:sz w:val="24"/>
          <w:lang w:val="ru"/>
        </w:rPr>
        <w:t xml:space="preserve"> в равновесном состоянии от значений 2,43 мкг/мл (76 %) и AUC 36,2 мкг × ч/мл (79 %). </w:t>
      </w:r>
    </w:p>
    <w:p w14:paraId="1565876B" w14:textId="77777777" w:rsidR="00886CC6" w:rsidRPr="002E17FD" w:rsidRDefault="00886CC6" w:rsidP="00886CC6">
      <w:pPr>
        <w:spacing w:after="0" w:line="240" w:lineRule="auto"/>
        <w:ind w:left="-5" w:right="7"/>
        <w:jc w:val="both"/>
        <w:rPr>
          <w:rFonts w:ascii="Times New Roman" w:hAnsi="Times New Roman"/>
          <w:sz w:val="24"/>
          <w:lang w:val="ru"/>
        </w:rPr>
      </w:pPr>
      <w:r w:rsidRPr="002E17FD">
        <w:rPr>
          <w:rFonts w:ascii="Times New Roman" w:hAnsi="Times New Roman"/>
          <w:sz w:val="24"/>
          <w:lang w:val="ru"/>
        </w:rPr>
        <w:t>Системное воздействие лапатиниба повышается при приеме с пищей. Значения AUC возрастают примерно в 3 или 4 раза (C</w:t>
      </w:r>
      <w:r w:rsidRPr="002E17FD">
        <w:rPr>
          <w:rFonts w:ascii="Times New Roman" w:hAnsi="Times New Roman"/>
          <w:sz w:val="24"/>
          <w:vertAlign w:val="subscript"/>
          <w:lang w:val="ru"/>
        </w:rPr>
        <w:t>max</w:t>
      </w:r>
      <w:r w:rsidRPr="002E17FD">
        <w:rPr>
          <w:rFonts w:ascii="Times New Roman" w:hAnsi="Times New Roman"/>
          <w:sz w:val="24"/>
          <w:lang w:val="ru"/>
        </w:rPr>
        <w:t xml:space="preserve"> увеличивается в 2,5 или 3 раза) при приеме препарата одновременно с маложирной пищей (жирность 5% [500 калорий]) или с пищей, насыщенной жирами (жирность 50% [1000 калорий]), соответственно, по сравнению с приемом натощак. Системное воздействие лапатиниба также зависит от времени приема препарата по отношению к приему пищи. При приеме за 1 час до завтрака с низким содержанием жира средние значения AUC были приблизительно в 2 и 3 раза выше, чем при приеме лапатиниба через 1 час после приема пищи с низким или высоким содержанием жира, соответственно. </w:t>
      </w:r>
    </w:p>
    <w:p w14:paraId="7308E1A5" w14:textId="77777777" w:rsidR="00886CC6" w:rsidRPr="002E17FD" w:rsidRDefault="00886CC6" w:rsidP="00886CC6">
      <w:pPr>
        <w:spacing w:after="0" w:line="240" w:lineRule="auto"/>
        <w:ind w:left="-5" w:right="7"/>
        <w:jc w:val="both"/>
        <w:rPr>
          <w:rFonts w:ascii="Times New Roman" w:hAnsi="Times New Roman"/>
          <w:sz w:val="24"/>
        </w:rPr>
      </w:pPr>
      <w:r w:rsidRPr="002E17FD">
        <w:rPr>
          <w:rFonts w:ascii="Times New Roman" w:hAnsi="Times New Roman"/>
          <w:i/>
          <w:sz w:val="24"/>
          <w:lang w:val="ru"/>
        </w:rPr>
        <w:t xml:space="preserve">Распределение </w:t>
      </w:r>
    </w:p>
    <w:p w14:paraId="36C5659D" w14:textId="77777777" w:rsidR="00886CC6" w:rsidRPr="002E17FD" w:rsidRDefault="00886CC6" w:rsidP="00886CC6">
      <w:pPr>
        <w:spacing w:after="0" w:line="240" w:lineRule="auto"/>
        <w:ind w:left="-5" w:right="7"/>
        <w:jc w:val="both"/>
        <w:rPr>
          <w:rFonts w:ascii="Times New Roman" w:hAnsi="Times New Roman"/>
          <w:sz w:val="24"/>
          <w:lang w:val="ru"/>
        </w:rPr>
      </w:pPr>
      <w:r w:rsidRPr="002E17FD">
        <w:rPr>
          <w:rFonts w:ascii="Times New Roman" w:hAnsi="Times New Roman"/>
          <w:sz w:val="24"/>
          <w:lang w:val="ru"/>
        </w:rPr>
        <w:t xml:space="preserve">Лапатиниб обладает высокой степенью связывания с альбуминами и альфа-1 гликопротеинами (более 99%). Результаты </w:t>
      </w:r>
      <w:r w:rsidRPr="002E17FD">
        <w:rPr>
          <w:rFonts w:ascii="Times New Roman" w:hAnsi="Times New Roman"/>
          <w:i/>
          <w:iCs/>
          <w:sz w:val="24"/>
          <w:lang w:val="ru"/>
        </w:rPr>
        <w:t>in vitro</w:t>
      </w:r>
      <w:r w:rsidRPr="002E17FD">
        <w:rPr>
          <w:rFonts w:ascii="Times New Roman" w:hAnsi="Times New Roman"/>
          <w:sz w:val="24"/>
          <w:lang w:val="ru"/>
        </w:rPr>
        <w:t xml:space="preserve"> показали, что лапатиниб является субстратом для транспортных белков ВСRP (ABCG1) и гликопротеина П (ABCB1). Лапатиниб также показал </w:t>
      </w:r>
      <w:r w:rsidRPr="002E17FD">
        <w:rPr>
          <w:rFonts w:ascii="Times New Roman" w:hAnsi="Times New Roman"/>
          <w:i/>
          <w:iCs/>
          <w:sz w:val="24"/>
          <w:lang w:val="ru"/>
        </w:rPr>
        <w:t>in vitro</w:t>
      </w:r>
      <w:r w:rsidRPr="002E17FD">
        <w:rPr>
          <w:rFonts w:ascii="Times New Roman" w:hAnsi="Times New Roman"/>
          <w:sz w:val="24"/>
          <w:lang w:val="ru"/>
        </w:rPr>
        <w:t xml:space="preserve"> тенденцию к ингибированию этих эффлюксных переносчиков, а также печеночного транспортера ОАТР1В1 при клинически значимых концентрациях (значения IC</w:t>
      </w:r>
      <w:r w:rsidRPr="002E17FD">
        <w:rPr>
          <w:rFonts w:ascii="Times New Roman" w:hAnsi="Times New Roman"/>
          <w:sz w:val="24"/>
          <w:vertAlign w:val="subscript"/>
          <w:lang w:val="ru"/>
        </w:rPr>
        <w:t xml:space="preserve">50 </w:t>
      </w:r>
      <w:r w:rsidRPr="002E17FD">
        <w:rPr>
          <w:rFonts w:ascii="Times New Roman" w:hAnsi="Times New Roman"/>
          <w:sz w:val="24"/>
          <w:lang w:val="ru"/>
        </w:rPr>
        <w:t xml:space="preserve">2,3 мкг/мл). Клиническая значимость такого воздействия на фармакокинетику других лекарственных препаратов или на фармакологическую активность других противоопухолевых препаратов неизвестна. </w:t>
      </w:r>
    </w:p>
    <w:p w14:paraId="4DD7F673" w14:textId="77777777" w:rsidR="00886CC6" w:rsidRPr="002E17FD" w:rsidRDefault="00886CC6" w:rsidP="00886CC6">
      <w:pPr>
        <w:spacing w:after="0" w:line="240" w:lineRule="auto"/>
        <w:ind w:left="-5" w:right="7"/>
        <w:jc w:val="both"/>
        <w:rPr>
          <w:rFonts w:ascii="Times New Roman" w:hAnsi="Times New Roman"/>
          <w:sz w:val="24"/>
        </w:rPr>
      </w:pPr>
      <w:r w:rsidRPr="002E17FD">
        <w:rPr>
          <w:rFonts w:ascii="Times New Roman" w:hAnsi="Times New Roman"/>
          <w:i/>
          <w:sz w:val="24"/>
          <w:lang w:val="ru"/>
        </w:rPr>
        <w:t xml:space="preserve">Биотрансформация </w:t>
      </w:r>
    </w:p>
    <w:p w14:paraId="71167F61" w14:textId="77777777" w:rsidR="00886CC6" w:rsidRPr="002E17FD" w:rsidRDefault="00886CC6" w:rsidP="00886CC6">
      <w:pPr>
        <w:spacing w:after="0" w:line="240" w:lineRule="auto"/>
        <w:ind w:left="-5" w:right="7"/>
        <w:jc w:val="both"/>
        <w:rPr>
          <w:rFonts w:ascii="Times New Roman" w:hAnsi="Times New Roman"/>
          <w:sz w:val="24"/>
        </w:rPr>
      </w:pPr>
      <w:r w:rsidRPr="002E17FD">
        <w:rPr>
          <w:rFonts w:ascii="Times New Roman" w:hAnsi="Times New Roman"/>
          <w:sz w:val="24"/>
          <w:lang w:val="ru"/>
        </w:rPr>
        <w:t xml:space="preserve">Лапатиниб подвергается интенсивному метаболизму, главным образом, с помощью CYP3A4 и CYP3A5, в меньшей степени - с CYP2C19 и CYP2C8 с образованием различных окисленных метаболитов, количество которых не превышает 14% от дозы, выделенной с фекалиями, или 10% от концентрации лапатиниба в плазме крови. </w:t>
      </w:r>
    </w:p>
    <w:p w14:paraId="072191C5" w14:textId="77777777" w:rsidR="00886CC6" w:rsidRPr="002E17FD" w:rsidRDefault="00886CC6" w:rsidP="00886CC6">
      <w:pPr>
        <w:spacing w:after="0" w:line="240" w:lineRule="auto"/>
        <w:ind w:left="-5" w:right="7"/>
        <w:jc w:val="both"/>
        <w:rPr>
          <w:rFonts w:ascii="Times New Roman" w:hAnsi="Times New Roman"/>
          <w:sz w:val="24"/>
          <w:lang w:val="ru"/>
        </w:rPr>
      </w:pPr>
      <w:r w:rsidRPr="002E17FD">
        <w:rPr>
          <w:rFonts w:ascii="Times New Roman" w:hAnsi="Times New Roman"/>
          <w:sz w:val="24"/>
          <w:lang w:val="ru"/>
        </w:rPr>
        <w:t xml:space="preserve">Лапатиниб подавляет CYP3A (Ki 0,6–2,3 мкг/мл) и CYP2C8 (0,3 мкг/мл) </w:t>
      </w:r>
      <w:r w:rsidRPr="002E17FD">
        <w:rPr>
          <w:rFonts w:ascii="Times New Roman" w:hAnsi="Times New Roman"/>
          <w:i/>
          <w:iCs/>
          <w:sz w:val="24"/>
          <w:lang w:val="ru"/>
        </w:rPr>
        <w:t>in vitro</w:t>
      </w:r>
      <w:r w:rsidRPr="002E17FD">
        <w:rPr>
          <w:rFonts w:ascii="Times New Roman" w:hAnsi="Times New Roman"/>
          <w:sz w:val="24"/>
          <w:lang w:val="ru"/>
        </w:rPr>
        <w:t xml:space="preserve"> в клинически значимых концентрациях. Лапатиниб не подавляет в значительной степени следующие микросомы печени человека: ферменты CYP1A2, CYP2С9, CYP2С19, CYP2D6 или UGT (IC</w:t>
      </w:r>
      <w:r w:rsidRPr="002E17FD">
        <w:rPr>
          <w:rFonts w:ascii="Times New Roman" w:hAnsi="Times New Roman"/>
          <w:sz w:val="24"/>
          <w:vertAlign w:val="subscript"/>
          <w:lang w:val="ru"/>
        </w:rPr>
        <w:t>50</w:t>
      </w:r>
      <w:r w:rsidRPr="002E17FD">
        <w:rPr>
          <w:rFonts w:ascii="Times New Roman" w:hAnsi="Times New Roman"/>
          <w:sz w:val="24"/>
          <w:lang w:val="ru"/>
        </w:rPr>
        <w:t xml:space="preserve"> </w:t>
      </w:r>
      <w:r w:rsidRPr="002E17FD">
        <w:rPr>
          <w:rFonts w:ascii="Times New Roman" w:hAnsi="Times New Roman"/>
          <w:i/>
          <w:iCs/>
          <w:sz w:val="24"/>
          <w:lang w:val="ru"/>
        </w:rPr>
        <w:t>in vitro</w:t>
      </w:r>
      <w:r w:rsidRPr="002E17FD">
        <w:rPr>
          <w:rFonts w:ascii="Times New Roman" w:hAnsi="Times New Roman"/>
          <w:sz w:val="24"/>
          <w:lang w:val="ru"/>
        </w:rPr>
        <w:t xml:space="preserve"> ≥ 6,9 мкг/мл). </w:t>
      </w:r>
    </w:p>
    <w:p w14:paraId="2DE1EAD7" w14:textId="77777777" w:rsidR="00886CC6" w:rsidRPr="002E17FD" w:rsidRDefault="00886CC6" w:rsidP="00886CC6">
      <w:pPr>
        <w:spacing w:after="0" w:line="240" w:lineRule="auto"/>
        <w:ind w:left="-5" w:right="7"/>
        <w:jc w:val="both"/>
        <w:rPr>
          <w:rFonts w:ascii="Times New Roman" w:hAnsi="Times New Roman"/>
          <w:i/>
          <w:sz w:val="24"/>
        </w:rPr>
      </w:pPr>
      <w:r w:rsidRPr="002E17FD">
        <w:rPr>
          <w:rFonts w:ascii="Times New Roman" w:hAnsi="Times New Roman"/>
          <w:i/>
          <w:sz w:val="24"/>
          <w:lang w:val="ru"/>
        </w:rPr>
        <w:t xml:space="preserve">Выведение </w:t>
      </w:r>
    </w:p>
    <w:p w14:paraId="4EFAFD64" w14:textId="1BFFC3F2" w:rsidR="00886CC6" w:rsidRPr="002E17FD" w:rsidRDefault="00886CC6" w:rsidP="00886CC6">
      <w:pPr>
        <w:spacing w:after="0" w:line="240" w:lineRule="auto"/>
        <w:ind w:left="-5" w:right="7"/>
        <w:jc w:val="both"/>
        <w:rPr>
          <w:rFonts w:ascii="Times New Roman" w:hAnsi="Times New Roman"/>
          <w:sz w:val="24"/>
          <w:lang w:val="ru"/>
        </w:rPr>
      </w:pPr>
      <w:r w:rsidRPr="002E17FD">
        <w:rPr>
          <w:rFonts w:ascii="Times New Roman" w:hAnsi="Times New Roman"/>
          <w:sz w:val="24"/>
          <w:lang w:val="ru"/>
        </w:rPr>
        <w:t>Период полувыведения лапатиниба увеличивается дозозависимо при повышении однократных доз. Суточная доза лапатиниба приводит к равновесному состоянию через 6–7 суток приема, период полувыведения составляет 24 часа. Лапатиниб преимущественно выводится посредством метаболизма CYP3A4/5. Экскреция желчи может также содействовать выведению из организма.</w:t>
      </w:r>
      <w:r w:rsidRPr="002E17FD">
        <w:rPr>
          <w:rFonts w:ascii="Times New Roman" w:hAnsi="Times New Roman"/>
          <w:iCs/>
          <w:sz w:val="24"/>
          <w:lang w:val="ru"/>
        </w:rPr>
        <w:t xml:space="preserve"> </w:t>
      </w:r>
      <w:r w:rsidRPr="002E17FD">
        <w:rPr>
          <w:rFonts w:ascii="Times New Roman" w:hAnsi="Times New Roman"/>
          <w:sz w:val="24"/>
          <w:lang w:val="ru"/>
        </w:rPr>
        <w:t xml:space="preserve">Основной способ экскреции лапатиниба и его метаболитов осуществляется через фекалии. В среднем 27% (от 3 до 67%) дозы, принимаемой перорально, выводится в неизмененном виде через фекалии. Менее 2% от принятой дозы выводится почками в неизмененном виде и в виде метаболитов. </w:t>
      </w:r>
    </w:p>
    <w:p w14:paraId="0DD7C384" w14:textId="77777777" w:rsidR="00886CC6" w:rsidRPr="002E17FD" w:rsidRDefault="00886CC6" w:rsidP="00886CC6">
      <w:pPr>
        <w:spacing w:after="0" w:line="240" w:lineRule="auto"/>
        <w:ind w:left="-5" w:right="7"/>
        <w:jc w:val="both"/>
        <w:rPr>
          <w:rFonts w:ascii="Times New Roman" w:hAnsi="Times New Roman"/>
          <w:i/>
          <w:sz w:val="24"/>
        </w:rPr>
      </w:pPr>
      <w:r w:rsidRPr="002E17FD">
        <w:rPr>
          <w:rFonts w:ascii="Times New Roman" w:hAnsi="Times New Roman"/>
          <w:i/>
          <w:sz w:val="24"/>
          <w:lang w:val="ru"/>
        </w:rPr>
        <w:t xml:space="preserve">Нарушение функции почек </w:t>
      </w:r>
    </w:p>
    <w:p w14:paraId="29745ECB" w14:textId="77777777" w:rsidR="00886CC6" w:rsidRPr="002E17FD" w:rsidRDefault="00886CC6" w:rsidP="00886CC6">
      <w:pPr>
        <w:spacing w:after="0" w:line="240" w:lineRule="auto"/>
        <w:ind w:left="-5" w:right="7"/>
        <w:jc w:val="both"/>
        <w:rPr>
          <w:rFonts w:ascii="Times New Roman" w:hAnsi="Times New Roman"/>
          <w:sz w:val="24"/>
          <w:lang w:val="ru"/>
        </w:rPr>
      </w:pPr>
      <w:r w:rsidRPr="002E17FD">
        <w:rPr>
          <w:rFonts w:ascii="Times New Roman" w:hAnsi="Times New Roman"/>
          <w:sz w:val="24"/>
          <w:lang w:val="ru"/>
        </w:rPr>
        <w:t xml:space="preserve">Фармакокинетика лапатиниба у пациентов с почечной недостаточностью или у пациентов на гемодиализе не изучалась. Для пациентов с незначительным и умеренным нарушением функции почек корректировка дозы не требуется. </w:t>
      </w:r>
    </w:p>
    <w:p w14:paraId="7065624B" w14:textId="77777777" w:rsidR="00886CC6" w:rsidRPr="002E17FD" w:rsidRDefault="00886CC6" w:rsidP="00886CC6">
      <w:pPr>
        <w:spacing w:after="0" w:line="240" w:lineRule="auto"/>
        <w:ind w:left="-5" w:right="7"/>
        <w:jc w:val="both"/>
        <w:rPr>
          <w:rFonts w:ascii="Times New Roman" w:hAnsi="Times New Roman"/>
          <w:sz w:val="24"/>
        </w:rPr>
      </w:pPr>
      <w:r w:rsidRPr="002E17FD">
        <w:rPr>
          <w:rFonts w:ascii="Times New Roman" w:hAnsi="Times New Roman"/>
          <w:i/>
          <w:iCs/>
          <w:sz w:val="24"/>
          <w:lang w:val="ru"/>
        </w:rPr>
        <w:lastRenderedPageBreak/>
        <w:t>Нарушение функции печени</w:t>
      </w:r>
      <w:r w:rsidRPr="002E17FD">
        <w:rPr>
          <w:rFonts w:ascii="Times New Roman" w:hAnsi="Times New Roman"/>
          <w:sz w:val="24"/>
          <w:lang w:val="ru"/>
        </w:rPr>
        <w:t xml:space="preserve"> </w:t>
      </w:r>
    </w:p>
    <w:p w14:paraId="7C78BB32" w14:textId="68688771" w:rsidR="00886CC6" w:rsidRPr="002E17FD" w:rsidRDefault="00886CC6" w:rsidP="00886CC6">
      <w:pPr>
        <w:spacing w:after="0" w:line="240" w:lineRule="auto"/>
        <w:ind w:left="-5" w:right="7"/>
        <w:jc w:val="both"/>
      </w:pPr>
      <w:r w:rsidRPr="002E17FD">
        <w:rPr>
          <w:rFonts w:ascii="Times New Roman" w:hAnsi="Times New Roman"/>
          <w:sz w:val="24"/>
          <w:lang w:val="ru"/>
        </w:rPr>
        <w:t>Фармакокинетику лапатиниба исследовали у пациентов с умеренным (n = 8) или тяжелым (n = 4) нарушением функции печени (7–9 или более 9 баллов по шкале Чайлда-Пью, соответственно) и у 8 здоровых пациентов в контрольной группе. Системное воздействие (AUC) лапатиниба после приема 100 мг препарата перорально увеличилось примерно на 56% и 85% у пациентов со средней и тяжелой степенью нарушения функции печени, соответственно. У пациентов с нарушением функции печени лапатиниб должен назначаться с осторожностью</w:t>
      </w:r>
      <w:r w:rsidR="00017483" w:rsidRPr="002E17FD">
        <w:rPr>
          <w:rFonts w:ascii="Times New Roman" w:hAnsi="Times New Roman"/>
          <w:sz w:val="24"/>
          <w:lang w:val="ru"/>
        </w:rPr>
        <w:t xml:space="preserve"> (см. раздел 4.2 и 4.4)</w:t>
      </w:r>
      <w:r w:rsidRPr="002E17FD">
        <w:rPr>
          <w:rFonts w:ascii="Times New Roman" w:hAnsi="Times New Roman"/>
          <w:sz w:val="24"/>
          <w:lang w:val="ru"/>
        </w:rPr>
        <w:t>.</w:t>
      </w:r>
    </w:p>
    <w:p w14:paraId="25D1E00F" w14:textId="77777777" w:rsidR="0013233F" w:rsidRPr="002E17FD" w:rsidRDefault="0013233F" w:rsidP="0078568D">
      <w:pPr>
        <w:autoSpaceDE w:val="0"/>
        <w:autoSpaceDN w:val="0"/>
        <w:adjustRightInd w:val="0"/>
        <w:spacing w:after="0" w:line="240" w:lineRule="auto"/>
        <w:rPr>
          <w:rFonts w:ascii="Times New Roman" w:hAnsi="Times New Roman"/>
          <w:b/>
          <w:sz w:val="24"/>
          <w:szCs w:val="24"/>
          <w:lang w:eastAsia="ru-RU"/>
        </w:rPr>
      </w:pPr>
    </w:p>
    <w:p w14:paraId="7F8D58C4" w14:textId="77777777" w:rsidR="00DF3381" w:rsidRPr="002E17FD"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2E17FD">
        <w:rPr>
          <w:rFonts w:ascii="Times New Roman" w:hAnsi="Times New Roman"/>
          <w:b/>
          <w:sz w:val="24"/>
          <w:szCs w:val="24"/>
          <w:lang w:eastAsia="ru-RU"/>
        </w:rPr>
        <w:t xml:space="preserve">5.3. </w:t>
      </w:r>
      <w:r w:rsidRPr="002E17FD">
        <w:rPr>
          <w:rFonts w:ascii="Times New Roman" w:eastAsia="TimesNewRomanPSMT" w:hAnsi="Times New Roman"/>
          <w:b/>
          <w:sz w:val="24"/>
          <w:szCs w:val="24"/>
          <w:lang w:eastAsia="ru-RU"/>
        </w:rPr>
        <w:t>Да</w:t>
      </w:r>
      <w:r w:rsidR="00DD5E3A" w:rsidRPr="002E17FD">
        <w:rPr>
          <w:rFonts w:ascii="Times New Roman" w:eastAsia="TimesNewRomanPSMT" w:hAnsi="Times New Roman"/>
          <w:b/>
          <w:sz w:val="24"/>
          <w:szCs w:val="24"/>
          <w:lang w:eastAsia="ru-RU"/>
        </w:rPr>
        <w:t>нные доклинической безопасности</w:t>
      </w:r>
    </w:p>
    <w:p w14:paraId="6C9355AE" w14:textId="77777777" w:rsidR="00AD087F" w:rsidRPr="002E17FD" w:rsidRDefault="00AD087F" w:rsidP="00AD087F">
      <w:pPr>
        <w:spacing w:after="0" w:line="240" w:lineRule="auto"/>
        <w:ind w:left="-6" w:right="6"/>
        <w:jc w:val="both"/>
        <w:rPr>
          <w:rFonts w:ascii="Times New Roman" w:hAnsi="Times New Roman"/>
          <w:sz w:val="24"/>
          <w:lang w:val="ru"/>
        </w:rPr>
      </w:pPr>
      <w:r w:rsidRPr="002E17FD">
        <w:rPr>
          <w:rFonts w:ascii="Times New Roman" w:hAnsi="Times New Roman"/>
          <w:sz w:val="24"/>
          <w:lang w:val="ru"/>
        </w:rPr>
        <w:t xml:space="preserve">Действие лапатиниба изучалось у беременных крыс и кроликов, получавших препарат перорально в дозе 30, 60 и 120 мг/кг/день. Тератогенное действие не оказывалось; однако, имели место небольшие аномалии развития (левосторонняя пупочная артерия, добавочное ребро и преждевременное образование костного вещества) у крыс при приеме ≥ 60 мг/кг/день (в 4 раза превышает ожидаемое клиническое воздействие на человека). Лапатиниб оказывал токсичное воздействие на беременных кроликов-самок при приеме 60 и 120 мг/кг/день (8% и 23% ожидаемого клинического воздействия на человека, соответственно) и приводил к выкидышам при приеме 120 мг/кг/день. При приеме ≥60 мг/кг/день наблюдалось снижение веса тела эмбриона и небольшие костные изменения. При исследовании внутриутробного и постнатального развития у крыс наблюдалось снижение выживаемости детенышей в период между рождением и 21 постнатальным днем при приеме 60 мг/кг/день или более (в 5 раз превышает ожидаемое клиническое воздействие на человека). Максимальная недействующая доза для этого исследования составила 20 мг/кг/день. </w:t>
      </w:r>
    </w:p>
    <w:p w14:paraId="6B4AE56D" w14:textId="77777777" w:rsidR="00AD087F" w:rsidRPr="002E17FD" w:rsidRDefault="00AD087F" w:rsidP="00AD087F">
      <w:pPr>
        <w:spacing w:after="0" w:line="240" w:lineRule="auto"/>
        <w:ind w:left="-6" w:right="6"/>
        <w:jc w:val="both"/>
        <w:rPr>
          <w:rFonts w:ascii="Times New Roman" w:hAnsi="Times New Roman"/>
          <w:sz w:val="24"/>
        </w:rPr>
      </w:pPr>
      <w:r w:rsidRPr="002E17FD">
        <w:rPr>
          <w:rFonts w:ascii="Times New Roman" w:hAnsi="Times New Roman"/>
          <w:sz w:val="24"/>
          <w:lang w:val="ru"/>
        </w:rPr>
        <w:t xml:space="preserve">При исследованиях канцерогенности лапатиниба были замечены тяжелые поражения кожи при приеме максимальных испытанных доз, чье воздействие на основе AUC было в 2 раза больше у мышей и крыс-самцов и в 15 раз больше у самок-крыс по сравнению с людьми, принимавшими 1250 мг лапатиниба один раз в день. Признаков канцерогенности у мышей не отмечалось. Частота возникновения доброкачественной гемангиомы брыжеечных лимфатических узлов у крыс была выше в некоторых группах, чем в параллельных контрольных группах. Также наблюдалось увеличение инфарктов почек и папиллярного некроза у крыс-самок при 7 и 10-кратном воздействии по сравнению с людьми, принимавшими 1250 мг лапатиниба один раз в день. Актуальность этих результатов для человека является неопределенной. </w:t>
      </w:r>
    </w:p>
    <w:p w14:paraId="3350721F" w14:textId="77777777" w:rsidR="00AD087F" w:rsidRPr="002E17FD" w:rsidRDefault="00AD087F" w:rsidP="00AD087F">
      <w:pPr>
        <w:spacing w:after="0" w:line="240" w:lineRule="auto"/>
        <w:ind w:left="-6" w:right="6"/>
        <w:jc w:val="both"/>
        <w:rPr>
          <w:rFonts w:ascii="Times New Roman" w:hAnsi="Times New Roman"/>
          <w:sz w:val="24"/>
        </w:rPr>
      </w:pPr>
      <w:r w:rsidRPr="002E17FD">
        <w:rPr>
          <w:rFonts w:ascii="Times New Roman" w:hAnsi="Times New Roman"/>
          <w:sz w:val="24"/>
          <w:lang w:val="ru"/>
        </w:rPr>
        <w:t xml:space="preserve">Не наблюдалось никакого воздействия на функции половых желез у крыс-самок и крыс-самцов, их функции спаривания или репродуктивные функции при приеме до 120 мг/кг/день (самки) и до 180 мг/кг/день (самцы) (в 8 и 3 раза больше ожидаемого клинического воздействия на человека, соответственно). Влияние на репродуктивную функцию человека неизвестно. </w:t>
      </w:r>
    </w:p>
    <w:p w14:paraId="3036DBEA" w14:textId="77777777" w:rsidR="00AD087F" w:rsidRPr="002E17FD" w:rsidRDefault="00AD087F" w:rsidP="00AD087F">
      <w:pPr>
        <w:spacing w:after="0" w:line="240" w:lineRule="auto"/>
        <w:ind w:left="-6" w:right="6"/>
        <w:jc w:val="both"/>
        <w:rPr>
          <w:rFonts w:ascii="Times New Roman" w:hAnsi="Times New Roman"/>
          <w:sz w:val="24"/>
        </w:rPr>
      </w:pPr>
      <w:r w:rsidRPr="002E17FD">
        <w:rPr>
          <w:rFonts w:ascii="Times New Roman" w:hAnsi="Times New Roman"/>
          <w:sz w:val="24"/>
          <w:lang w:val="ru"/>
        </w:rPr>
        <w:t xml:space="preserve">Лапатиниб не являлся кластогенным или мутагенным по результатам ряда исследований, включая исследование хромосомной аберрации китайского хомяка, тест Эймса, исследование хромосомной аберрации лимфоцитов человека и </w:t>
      </w:r>
      <w:r w:rsidRPr="002E17FD">
        <w:rPr>
          <w:rFonts w:ascii="Times New Roman" w:hAnsi="Times New Roman"/>
          <w:i/>
          <w:iCs/>
          <w:sz w:val="24"/>
          <w:lang w:val="ru"/>
        </w:rPr>
        <w:t>in vivo</w:t>
      </w:r>
      <w:r w:rsidRPr="002E17FD">
        <w:rPr>
          <w:rFonts w:ascii="Times New Roman" w:hAnsi="Times New Roman"/>
          <w:sz w:val="24"/>
          <w:lang w:val="ru"/>
        </w:rPr>
        <w:t xml:space="preserve"> исследование хромосомной аберрации костного мозга крыс. </w:t>
      </w:r>
    </w:p>
    <w:p w14:paraId="439F72E1" w14:textId="77777777" w:rsidR="00CE03ED" w:rsidRPr="002E17FD" w:rsidRDefault="00CE03ED" w:rsidP="0078568D">
      <w:pPr>
        <w:autoSpaceDE w:val="0"/>
        <w:autoSpaceDN w:val="0"/>
        <w:adjustRightInd w:val="0"/>
        <w:spacing w:after="0" w:line="240" w:lineRule="auto"/>
        <w:rPr>
          <w:rFonts w:ascii="Times New Roman" w:hAnsi="Times New Roman"/>
          <w:b/>
          <w:sz w:val="24"/>
          <w:szCs w:val="24"/>
          <w:lang w:eastAsia="ru-RU"/>
        </w:rPr>
      </w:pPr>
    </w:p>
    <w:p w14:paraId="5706F788" w14:textId="77777777" w:rsidR="00DF3381" w:rsidRPr="002E17FD"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2E17FD">
        <w:rPr>
          <w:rFonts w:ascii="Times New Roman" w:hAnsi="Times New Roman"/>
          <w:b/>
          <w:sz w:val="24"/>
          <w:szCs w:val="24"/>
          <w:lang w:eastAsia="ru-RU"/>
        </w:rPr>
        <w:t xml:space="preserve">6. </w:t>
      </w:r>
      <w:r w:rsidRPr="002E17FD">
        <w:rPr>
          <w:rFonts w:ascii="Times New Roman" w:eastAsia="TimesNewRomanPSMT" w:hAnsi="Times New Roman"/>
          <w:b/>
          <w:sz w:val="24"/>
          <w:szCs w:val="24"/>
          <w:lang w:eastAsia="ru-RU"/>
        </w:rPr>
        <w:t>ФАРМАЦЕВТИЧЕСКИЕ СВОЙСТВА</w:t>
      </w:r>
    </w:p>
    <w:p w14:paraId="4152F56C" w14:textId="77777777" w:rsidR="005921EA" w:rsidRPr="002E17FD"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2E17FD">
        <w:rPr>
          <w:rFonts w:ascii="Times New Roman" w:hAnsi="Times New Roman"/>
          <w:b/>
          <w:sz w:val="24"/>
          <w:szCs w:val="24"/>
          <w:lang w:eastAsia="ru-RU"/>
        </w:rPr>
        <w:t xml:space="preserve">6.1. </w:t>
      </w:r>
      <w:r w:rsidRPr="002E17FD">
        <w:rPr>
          <w:rFonts w:ascii="Times New Roman" w:eastAsia="TimesNewRomanPSMT" w:hAnsi="Times New Roman"/>
          <w:b/>
          <w:sz w:val="24"/>
          <w:szCs w:val="24"/>
          <w:lang w:eastAsia="ru-RU"/>
        </w:rPr>
        <w:t>Перечень вспомогательных веществ</w:t>
      </w:r>
    </w:p>
    <w:p w14:paraId="269E01FC" w14:textId="77777777" w:rsidR="00B51D02" w:rsidRPr="002E17FD" w:rsidRDefault="00B51D02" w:rsidP="0078568D">
      <w:pPr>
        <w:autoSpaceDE w:val="0"/>
        <w:autoSpaceDN w:val="0"/>
        <w:adjustRightInd w:val="0"/>
        <w:spacing w:after="0" w:line="240" w:lineRule="auto"/>
        <w:rPr>
          <w:rFonts w:ascii="Times New Roman" w:eastAsia="TimesNewRomanPSMT" w:hAnsi="Times New Roman"/>
          <w:sz w:val="24"/>
          <w:szCs w:val="24"/>
          <w:lang w:eastAsia="ru-RU"/>
        </w:rPr>
      </w:pPr>
      <w:r w:rsidRPr="002E17FD">
        <w:rPr>
          <w:rFonts w:ascii="Times New Roman" w:eastAsia="TimesNewRomanPSMT" w:hAnsi="Times New Roman"/>
          <w:sz w:val="24"/>
          <w:szCs w:val="24"/>
          <w:lang w:eastAsia="ru-RU"/>
        </w:rPr>
        <w:t>Маннитол (Перлитол 25С),</w:t>
      </w:r>
    </w:p>
    <w:p w14:paraId="16BEDA8B" w14:textId="77777777" w:rsidR="00B51D02" w:rsidRPr="002E17FD" w:rsidRDefault="00B51D02" w:rsidP="0078568D">
      <w:pPr>
        <w:autoSpaceDE w:val="0"/>
        <w:autoSpaceDN w:val="0"/>
        <w:adjustRightInd w:val="0"/>
        <w:spacing w:after="0" w:line="240" w:lineRule="auto"/>
        <w:rPr>
          <w:rFonts w:ascii="Times New Roman" w:eastAsia="TimesNewRomanPSMT" w:hAnsi="Times New Roman"/>
          <w:sz w:val="24"/>
          <w:szCs w:val="24"/>
          <w:lang w:eastAsia="ru-RU"/>
        </w:rPr>
      </w:pPr>
      <w:r w:rsidRPr="002E17FD">
        <w:rPr>
          <w:rFonts w:ascii="Times New Roman" w:eastAsia="TimesNewRomanPSMT" w:hAnsi="Times New Roman"/>
          <w:sz w:val="24"/>
          <w:szCs w:val="24"/>
          <w:lang w:eastAsia="ru-RU"/>
        </w:rPr>
        <w:t>гипромеллоза Е5,</w:t>
      </w:r>
    </w:p>
    <w:p w14:paraId="32D2D09A" w14:textId="77777777" w:rsidR="00B51D02" w:rsidRPr="002E17FD" w:rsidRDefault="00B51D02" w:rsidP="0078568D">
      <w:pPr>
        <w:autoSpaceDE w:val="0"/>
        <w:autoSpaceDN w:val="0"/>
        <w:adjustRightInd w:val="0"/>
        <w:spacing w:after="0" w:line="240" w:lineRule="auto"/>
        <w:rPr>
          <w:rFonts w:ascii="Times New Roman" w:eastAsia="TimesNewRomanPSMT" w:hAnsi="Times New Roman"/>
          <w:sz w:val="24"/>
          <w:szCs w:val="24"/>
          <w:lang w:eastAsia="ru-RU"/>
        </w:rPr>
      </w:pPr>
      <w:r w:rsidRPr="002E17FD">
        <w:rPr>
          <w:rFonts w:ascii="Times New Roman" w:eastAsia="TimesNewRomanPSMT" w:hAnsi="Times New Roman"/>
          <w:sz w:val="24"/>
          <w:szCs w:val="24"/>
          <w:lang w:eastAsia="ru-RU"/>
        </w:rPr>
        <w:t>натрия кроскармеллоза,</w:t>
      </w:r>
    </w:p>
    <w:p w14:paraId="5C997012" w14:textId="77777777" w:rsidR="00215CBB" w:rsidRPr="002E17FD" w:rsidRDefault="00B51D02" w:rsidP="0078568D">
      <w:pPr>
        <w:autoSpaceDE w:val="0"/>
        <w:autoSpaceDN w:val="0"/>
        <w:adjustRightInd w:val="0"/>
        <w:spacing w:after="0" w:line="240" w:lineRule="auto"/>
        <w:rPr>
          <w:rFonts w:ascii="Times New Roman" w:eastAsia="TimesNewRomanPSMT" w:hAnsi="Times New Roman"/>
          <w:sz w:val="24"/>
          <w:szCs w:val="24"/>
          <w:lang w:eastAsia="ru-RU"/>
        </w:rPr>
      </w:pPr>
      <w:r w:rsidRPr="002E17FD">
        <w:rPr>
          <w:rFonts w:ascii="Times New Roman" w:eastAsia="TimesNewRomanPSMT" w:hAnsi="Times New Roman"/>
          <w:sz w:val="24"/>
          <w:szCs w:val="24"/>
          <w:lang w:eastAsia="ru-RU"/>
        </w:rPr>
        <w:t>магния стеарат,</w:t>
      </w:r>
    </w:p>
    <w:p w14:paraId="056D515D" w14:textId="77777777" w:rsidR="00B51D02" w:rsidRPr="002E17FD" w:rsidRDefault="00B51D02" w:rsidP="0078568D">
      <w:pPr>
        <w:autoSpaceDE w:val="0"/>
        <w:autoSpaceDN w:val="0"/>
        <w:adjustRightInd w:val="0"/>
        <w:spacing w:after="0" w:line="240" w:lineRule="auto"/>
        <w:rPr>
          <w:rFonts w:ascii="Times New Roman" w:eastAsia="TimesNewRomanPSMT" w:hAnsi="Times New Roman"/>
          <w:sz w:val="24"/>
          <w:szCs w:val="24"/>
          <w:lang w:eastAsia="ru-RU"/>
        </w:rPr>
      </w:pPr>
      <w:r w:rsidRPr="002E17FD">
        <w:rPr>
          <w:rFonts w:ascii="Times New Roman" w:eastAsia="TimesNewRomanPSMT" w:hAnsi="Times New Roman"/>
          <w:sz w:val="24"/>
          <w:szCs w:val="24"/>
          <w:lang w:eastAsia="ru-RU"/>
        </w:rPr>
        <w:t>пленочное покрытие Табкоат ТС-520127 желтый:</w:t>
      </w:r>
    </w:p>
    <w:p w14:paraId="4DD702B3" w14:textId="77777777" w:rsidR="00B51D02" w:rsidRPr="002E17FD" w:rsidRDefault="00B51D02" w:rsidP="0078568D">
      <w:pPr>
        <w:autoSpaceDE w:val="0"/>
        <w:autoSpaceDN w:val="0"/>
        <w:adjustRightInd w:val="0"/>
        <w:spacing w:after="0" w:line="240" w:lineRule="auto"/>
        <w:rPr>
          <w:rFonts w:ascii="Times New Roman" w:eastAsia="TimesNewRomanPSMT" w:hAnsi="Times New Roman"/>
          <w:sz w:val="24"/>
          <w:szCs w:val="24"/>
          <w:lang w:eastAsia="ru-RU"/>
        </w:rPr>
      </w:pPr>
      <w:r w:rsidRPr="002E17FD">
        <w:rPr>
          <w:rFonts w:ascii="Times New Roman" w:eastAsia="TimesNewRomanPSMT" w:hAnsi="Times New Roman"/>
          <w:sz w:val="24"/>
          <w:szCs w:val="24"/>
          <w:lang w:eastAsia="ru-RU"/>
        </w:rPr>
        <w:t>гипромеллоза 2910 6 мПас (Е 464),</w:t>
      </w:r>
    </w:p>
    <w:p w14:paraId="4C8F636B" w14:textId="77777777" w:rsidR="00B51D02" w:rsidRPr="002E17FD" w:rsidRDefault="00B51D02" w:rsidP="0078568D">
      <w:pPr>
        <w:autoSpaceDE w:val="0"/>
        <w:autoSpaceDN w:val="0"/>
        <w:adjustRightInd w:val="0"/>
        <w:spacing w:after="0" w:line="240" w:lineRule="auto"/>
        <w:rPr>
          <w:rFonts w:ascii="Times New Roman" w:eastAsia="TimesNewRomanPSMT" w:hAnsi="Times New Roman"/>
          <w:sz w:val="24"/>
          <w:szCs w:val="24"/>
          <w:lang w:eastAsia="ru-RU"/>
        </w:rPr>
      </w:pPr>
      <w:r w:rsidRPr="002E17FD">
        <w:rPr>
          <w:rFonts w:ascii="Times New Roman" w:eastAsia="TimesNewRomanPSMT" w:hAnsi="Times New Roman"/>
          <w:sz w:val="24"/>
          <w:szCs w:val="24"/>
          <w:lang w:eastAsia="ru-RU"/>
        </w:rPr>
        <w:lastRenderedPageBreak/>
        <w:t>титана диоксид (Е 171),</w:t>
      </w:r>
    </w:p>
    <w:p w14:paraId="33E5EA45" w14:textId="77777777" w:rsidR="00B51D02" w:rsidRPr="002E17FD" w:rsidRDefault="00B51D02" w:rsidP="0078568D">
      <w:pPr>
        <w:autoSpaceDE w:val="0"/>
        <w:autoSpaceDN w:val="0"/>
        <w:adjustRightInd w:val="0"/>
        <w:spacing w:after="0" w:line="240" w:lineRule="auto"/>
        <w:rPr>
          <w:rFonts w:ascii="Times New Roman" w:eastAsia="TimesNewRomanPSMT" w:hAnsi="Times New Roman"/>
          <w:sz w:val="24"/>
          <w:szCs w:val="24"/>
          <w:lang w:eastAsia="ru-RU"/>
        </w:rPr>
      </w:pPr>
      <w:r w:rsidRPr="002E17FD">
        <w:rPr>
          <w:rFonts w:ascii="Times New Roman" w:eastAsia="TimesNewRomanPSMT" w:hAnsi="Times New Roman"/>
          <w:sz w:val="24"/>
          <w:szCs w:val="24"/>
          <w:lang w:eastAsia="ru-RU"/>
        </w:rPr>
        <w:t>тальк (Е 553b),</w:t>
      </w:r>
    </w:p>
    <w:p w14:paraId="16593036" w14:textId="77777777" w:rsidR="00B51D02" w:rsidRPr="002E17FD" w:rsidRDefault="00B51D02" w:rsidP="0078568D">
      <w:pPr>
        <w:autoSpaceDE w:val="0"/>
        <w:autoSpaceDN w:val="0"/>
        <w:adjustRightInd w:val="0"/>
        <w:spacing w:after="0" w:line="240" w:lineRule="auto"/>
        <w:rPr>
          <w:rFonts w:ascii="Times New Roman" w:eastAsia="TimesNewRomanPSMT" w:hAnsi="Times New Roman"/>
          <w:sz w:val="24"/>
          <w:szCs w:val="24"/>
          <w:lang w:eastAsia="ru-RU"/>
        </w:rPr>
      </w:pPr>
      <w:r w:rsidRPr="002E17FD">
        <w:rPr>
          <w:rFonts w:ascii="Times New Roman" w:eastAsia="TimesNewRomanPSMT" w:hAnsi="Times New Roman"/>
          <w:sz w:val="24"/>
          <w:szCs w:val="24"/>
          <w:lang w:eastAsia="ru-RU"/>
        </w:rPr>
        <w:t>макрогол (Е1521),</w:t>
      </w:r>
    </w:p>
    <w:p w14:paraId="769B449B" w14:textId="77777777" w:rsidR="00B51D02" w:rsidRPr="002E17FD" w:rsidRDefault="00B51D02" w:rsidP="0078568D">
      <w:pPr>
        <w:autoSpaceDE w:val="0"/>
        <w:autoSpaceDN w:val="0"/>
        <w:adjustRightInd w:val="0"/>
        <w:spacing w:after="0" w:line="240" w:lineRule="auto"/>
        <w:rPr>
          <w:rFonts w:ascii="Times New Roman" w:eastAsia="TimesNewRomanPSMT" w:hAnsi="Times New Roman"/>
          <w:sz w:val="24"/>
          <w:szCs w:val="24"/>
          <w:lang w:eastAsia="ru-RU"/>
        </w:rPr>
      </w:pPr>
      <w:r w:rsidRPr="002E17FD">
        <w:rPr>
          <w:rFonts w:ascii="Times New Roman" w:eastAsia="TimesNewRomanPSMT" w:hAnsi="Times New Roman"/>
          <w:sz w:val="24"/>
          <w:szCs w:val="24"/>
          <w:lang w:eastAsia="ru-RU"/>
        </w:rPr>
        <w:t>железа оксид желтый (Е 172),</w:t>
      </w:r>
    </w:p>
    <w:p w14:paraId="3DA3E8F7" w14:textId="511F3B5C" w:rsidR="00B51D02" w:rsidRPr="002E17FD" w:rsidRDefault="00B51D02" w:rsidP="0078568D">
      <w:pPr>
        <w:autoSpaceDE w:val="0"/>
        <w:autoSpaceDN w:val="0"/>
        <w:adjustRightInd w:val="0"/>
        <w:spacing w:after="0" w:line="240" w:lineRule="auto"/>
        <w:rPr>
          <w:rFonts w:ascii="Times New Roman" w:eastAsia="TimesNewRomanPSMT" w:hAnsi="Times New Roman"/>
          <w:sz w:val="24"/>
          <w:szCs w:val="24"/>
          <w:lang w:eastAsia="ru-RU"/>
        </w:rPr>
      </w:pPr>
      <w:r w:rsidRPr="002E17FD">
        <w:rPr>
          <w:rFonts w:ascii="Times New Roman" w:eastAsia="TimesNewRomanPSMT" w:hAnsi="Times New Roman"/>
          <w:sz w:val="24"/>
          <w:szCs w:val="24"/>
          <w:lang w:eastAsia="ru-RU"/>
        </w:rPr>
        <w:t>железа оксид красный (Е 172)</w:t>
      </w:r>
    </w:p>
    <w:p w14:paraId="36350706" w14:textId="77777777" w:rsidR="00BB272F" w:rsidRPr="002E17FD" w:rsidRDefault="00BB272F" w:rsidP="0078568D">
      <w:pPr>
        <w:autoSpaceDE w:val="0"/>
        <w:autoSpaceDN w:val="0"/>
        <w:adjustRightInd w:val="0"/>
        <w:spacing w:after="0" w:line="240" w:lineRule="auto"/>
        <w:rPr>
          <w:rFonts w:ascii="Times New Roman" w:eastAsia="TimesNewRomanPSMT" w:hAnsi="Times New Roman"/>
          <w:sz w:val="24"/>
          <w:szCs w:val="24"/>
          <w:lang w:eastAsia="ru-RU"/>
        </w:rPr>
      </w:pPr>
    </w:p>
    <w:p w14:paraId="542D32E8" w14:textId="77777777" w:rsidR="00DF3381" w:rsidRPr="002E17FD"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2E17FD">
        <w:rPr>
          <w:rFonts w:ascii="Times New Roman" w:hAnsi="Times New Roman"/>
          <w:b/>
          <w:sz w:val="24"/>
          <w:szCs w:val="24"/>
          <w:lang w:eastAsia="ru-RU"/>
        </w:rPr>
        <w:t xml:space="preserve">6.2. </w:t>
      </w:r>
      <w:r w:rsidRPr="002E17FD">
        <w:rPr>
          <w:rFonts w:ascii="Times New Roman" w:eastAsia="TimesNewRomanPSMT" w:hAnsi="Times New Roman"/>
          <w:b/>
          <w:sz w:val="24"/>
          <w:szCs w:val="24"/>
          <w:lang w:eastAsia="ru-RU"/>
        </w:rPr>
        <w:t>Несовместимость</w:t>
      </w:r>
    </w:p>
    <w:p w14:paraId="6506CCB0" w14:textId="2B5B396A" w:rsidR="00215CBB" w:rsidRPr="002E17FD" w:rsidRDefault="00BC55DB" w:rsidP="00215CBB">
      <w:pPr>
        <w:autoSpaceDE w:val="0"/>
        <w:autoSpaceDN w:val="0"/>
        <w:adjustRightInd w:val="0"/>
        <w:spacing w:after="0" w:line="240" w:lineRule="auto"/>
        <w:jc w:val="both"/>
        <w:rPr>
          <w:rFonts w:ascii="Times New Roman" w:eastAsia="TimesNewRomanPSMT" w:hAnsi="Times New Roman"/>
          <w:sz w:val="24"/>
          <w:szCs w:val="24"/>
          <w:lang w:eastAsia="ru-RU"/>
        </w:rPr>
      </w:pPr>
      <w:r w:rsidRPr="002E17FD">
        <w:rPr>
          <w:rFonts w:ascii="Times New Roman" w:eastAsia="TimesNewRomanPSMT" w:hAnsi="Times New Roman"/>
          <w:sz w:val="24"/>
          <w:szCs w:val="24"/>
          <w:lang w:eastAsia="ru-RU"/>
        </w:rPr>
        <w:t>Не применимо.</w:t>
      </w:r>
    </w:p>
    <w:p w14:paraId="65B64EE1" w14:textId="77777777" w:rsidR="00BB272F" w:rsidRPr="002E17FD" w:rsidRDefault="00BB272F" w:rsidP="00215CBB">
      <w:pPr>
        <w:autoSpaceDE w:val="0"/>
        <w:autoSpaceDN w:val="0"/>
        <w:adjustRightInd w:val="0"/>
        <w:spacing w:after="0" w:line="240" w:lineRule="auto"/>
        <w:jc w:val="both"/>
        <w:rPr>
          <w:rFonts w:ascii="Times New Roman" w:eastAsia="TimesNewRomanPSMT" w:hAnsi="Times New Roman"/>
          <w:sz w:val="24"/>
          <w:szCs w:val="24"/>
          <w:lang w:eastAsia="ru-RU"/>
        </w:rPr>
      </w:pPr>
    </w:p>
    <w:p w14:paraId="50E7770B" w14:textId="77777777" w:rsidR="009128A3" w:rsidRPr="002E17FD" w:rsidRDefault="009128A3" w:rsidP="0078568D">
      <w:pPr>
        <w:spacing w:after="0" w:line="240" w:lineRule="auto"/>
        <w:jc w:val="both"/>
        <w:rPr>
          <w:rFonts w:ascii="Times New Roman" w:hAnsi="Times New Roman"/>
          <w:b/>
          <w:sz w:val="24"/>
          <w:szCs w:val="24"/>
          <w:lang w:bidi="ru-RU"/>
        </w:rPr>
      </w:pPr>
      <w:r w:rsidRPr="002E17FD">
        <w:rPr>
          <w:rFonts w:ascii="Times New Roman" w:hAnsi="Times New Roman"/>
          <w:b/>
          <w:sz w:val="24"/>
          <w:szCs w:val="24"/>
          <w:lang w:bidi="ru-RU"/>
        </w:rPr>
        <w:t>6.3</w:t>
      </w:r>
      <w:r w:rsidRPr="002E17FD">
        <w:rPr>
          <w:rFonts w:ascii="Times New Roman" w:hAnsi="Times New Roman"/>
          <w:sz w:val="24"/>
          <w:szCs w:val="24"/>
          <w:lang w:bidi="ru-RU"/>
        </w:rPr>
        <w:t xml:space="preserve"> </w:t>
      </w:r>
      <w:r w:rsidRPr="002E17FD">
        <w:rPr>
          <w:rFonts w:ascii="Times New Roman" w:hAnsi="Times New Roman"/>
          <w:b/>
          <w:sz w:val="24"/>
          <w:szCs w:val="24"/>
          <w:lang w:bidi="ru-RU"/>
        </w:rPr>
        <w:t>Срок годности</w:t>
      </w:r>
    </w:p>
    <w:p w14:paraId="5ACECB8B" w14:textId="77777777" w:rsidR="00CE03ED" w:rsidRPr="002E17FD" w:rsidRDefault="00C25238" w:rsidP="0078568D">
      <w:pPr>
        <w:spacing w:after="0" w:line="240" w:lineRule="auto"/>
        <w:jc w:val="both"/>
        <w:rPr>
          <w:rFonts w:ascii="Times New Roman" w:hAnsi="Times New Roman"/>
          <w:sz w:val="24"/>
          <w:szCs w:val="24"/>
          <w:lang w:bidi="ru-RU"/>
        </w:rPr>
      </w:pPr>
      <w:r w:rsidRPr="002E17FD">
        <w:rPr>
          <w:rFonts w:ascii="Times New Roman" w:hAnsi="Times New Roman"/>
          <w:sz w:val="24"/>
          <w:szCs w:val="24"/>
          <w:lang w:bidi="ru-RU"/>
        </w:rPr>
        <w:t>2</w:t>
      </w:r>
      <w:r w:rsidR="003065D4" w:rsidRPr="002E17FD">
        <w:rPr>
          <w:rFonts w:ascii="Times New Roman" w:hAnsi="Times New Roman"/>
          <w:sz w:val="24"/>
          <w:szCs w:val="24"/>
          <w:lang w:bidi="ru-RU"/>
        </w:rPr>
        <w:t xml:space="preserve"> года</w:t>
      </w:r>
    </w:p>
    <w:p w14:paraId="4A637893" w14:textId="37E1F1F0" w:rsidR="00CE03ED" w:rsidRPr="002E17FD" w:rsidRDefault="00CE03ED" w:rsidP="0078568D">
      <w:pPr>
        <w:spacing w:after="0" w:line="240" w:lineRule="auto"/>
        <w:jc w:val="both"/>
        <w:rPr>
          <w:rFonts w:ascii="Times New Roman" w:hAnsi="Times New Roman"/>
          <w:sz w:val="24"/>
          <w:szCs w:val="24"/>
          <w:lang w:bidi="ru-RU"/>
        </w:rPr>
      </w:pPr>
      <w:r w:rsidRPr="002E17FD">
        <w:rPr>
          <w:rFonts w:ascii="Times New Roman" w:hAnsi="Times New Roman"/>
          <w:sz w:val="24"/>
          <w:szCs w:val="24"/>
          <w:lang w:bidi="ru-RU"/>
        </w:rPr>
        <w:t>Не применять по истечении срока годности.</w:t>
      </w:r>
    </w:p>
    <w:p w14:paraId="720B4705" w14:textId="77777777" w:rsidR="00BB272F" w:rsidRPr="002E17FD" w:rsidRDefault="00BB272F" w:rsidP="0078568D">
      <w:pPr>
        <w:spacing w:after="0" w:line="240" w:lineRule="auto"/>
        <w:jc w:val="both"/>
        <w:rPr>
          <w:rFonts w:ascii="Times New Roman" w:hAnsi="Times New Roman"/>
          <w:sz w:val="24"/>
          <w:szCs w:val="24"/>
        </w:rPr>
      </w:pPr>
    </w:p>
    <w:p w14:paraId="65157A83" w14:textId="77777777" w:rsidR="00632571" w:rsidRPr="002E17FD" w:rsidRDefault="00632571" w:rsidP="0078568D">
      <w:pPr>
        <w:spacing w:after="0" w:line="240" w:lineRule="auto"/>
        <w:jc w:val="both"/>
        <w:rPr>
          <w:rFonts w:ascii="Times New Roman" w:eastAsia="Times New Roman" w:hAnsi="Times New Roman"/>
          <w:b/>
          <w:sz w:val="24"/>
          <w:szCs w:val="24"/>
          <w:lang w:eastAsia="ru-RU"/>
        </w:rPr>
      </w:pPr>
      <w:r w:rsidRPr="002E17FD">
        <w:rPr>
          <w:rFonts w:ascii="Times New Roman" w:eastAsia="Times New Roman" w:hAnsi="Times New Roman"/>
          <w:b/>
          <w:sz w:val="24"/>
          <w:szCs w:val="24"/>
          <w:lang w:eastAsia="ru-RU"/>
        </w:rPr>
        <w:t xml:space="preserve">6.4 </w:t>
      </w:r>
      <w:r w:rsidRPr="002E17FD">
        <w:rPr>
          <w:rFonts w:ascii="Times New Roman" w:hAnsi="Times New Roman"/>
          <w:b/>
          <w:sz w:val="24"/>
          <w:szCs w:val="24"/>
          <w:lang w:bidi="ru-RU"/>
        </w:rPr>
        <w:t xml:space="preserve">Особые </w:t>
      </w:r>
      <w:r w:rsidRPr="002E17FD">
        <w:rPr>
          <w:rFonts w:ascii="Times New Roman" w:eastAsia="Times New Roman" w:hAnsi="Times New Roman"/>
          <w:b/>
          <w:sz w:val="24"/>
          <w:szCs w:val="24"/>
          <w:lang w:eastAsia="ru-RU"/>
        </w:rPr>
        <w:t>меры предосторожности при хранении</w:t>
      </w:r>
    </w:p>
    <w:p w14:paraId="0409EF00" w14:textId="77777777" w:rsidR="00632571" w:rsidRPr="002E17FD" w:rsidRDefault="00632571" w:rsidP="0078568D">
      <w:pPr>
        <w:spacing w:after="0" w:line="240" w:lineRule="auto"/>
        <w:jc w:val="both"/>
        <w:rPr>
          <w:rFonts w:ascii="Times New Roman" w:hAnsi="Times New Roman"/>
          <w:sz w:val="24"/>
          <w:szCs w:val="24"/>
        </w:rPr>
      </w:pPr>
      <w:r w:rsidRPr="002E17FD">
        <w:rPr>
          <w:rFonts w:ascii="Times New Roman" w:hAnsi="Times New Roman"/>
          <w:sz w:val="24"/>
          <w:szCs w:val="24"/>
        </w:rPr>
        <w:t xml:space="preserve">Хранить </w:t>
      </w:r>
      <w:r w:rsidR="003065D4" w:rsidRPr="002E17FD">
        <w:rPr>
          <w:rFonts w:ascii="Times New Roman" w:hAnsi="Times New Roman"/>
          <w:sz w:val="24"/>
          <w:szCs w:val="24"/>
        </w:rPr>
        <w:t xml:space="preserve">в сухом, защищенном от света месте, при температуре не выше 30 </w:t>
      </w:r>
      <w:r w:rsidR="003065D4" w:rsidRPr="002E17FD">
        <w:rPr>
          <w:rFonts w:ascii="Times New Roman" w:hAnsi="Times New Roman"/>
          <w:sz w:val="24"/>
          <w:szCs w:val="24"/>
        </w:rPr>
        <w:sym w:font="Symbol" w:char="F0B0"/>
      </w:r>
      <w:r w:rsidR="003065D4" w:rsidRPr="002E17FD">
        <w:rPr>
          <w:rFonts w:ascii="Times New Roman" w:hAnsi="Times New Roman"/>
          <w:sz w:val="24"/>
          <w:szCs w:val="24"/>
        </w:rPr>
        <w:t>С.</w:t>
      </w:r>
    </w:p>
    <w:p w14:paraId="0C228CB3" w14:textId="1122F69F" w:rsidR="00632571" w:rsidRPr="002E17FD" w:rsidRDefault="00632571" w:rsidP="0078568D">
      <w:pPr>
        <w:spacing w:after="0" w:line="240" w:lineRule="auto"/>
        <w:jc w:val="both"/>
        <w:rPr>
          <w:rFonts w:ascii="Times New Roman" w:hAnsi="Times New Roman"/>
          <w:sz w:val="24"/>
          <w:szCs w:val="24"/>
        </w:rPr>
      </w:pPr>
      <w:r w:rsidRPr="002E17FD">
        <w:rPr>
          <w:rFonts w:ascii="Times New Roman" w:hAnsi="Times New Roman"/>
          <w:sz w:val="24"/>
          <w:szCs w:val="24"/>
        </w:rPr>
        <w:t xml:space="preserve">Хранить в недоступном для детей месте! </w:t>
      </w:r>
      <w:bookmarkStart w:id="5" w:name="2175220289"/>
    </w:p>
    <w:p w14:paraId="055BE0BF" w14:textId="77777777" w:rsidR="00BB272F" w:rsidRPr="002E17FD" w:rsidRDefault="00BB272F" w:rsidP="0078568D">
      <w:pPr>
        <w:spacing w:after="0" w:line="240" w:lineRule="auto"/>
        <w:jc w:val="both"/>
        <w:rPr>
          <w:rFonts w:ascii="Times New Roman" w:hAnsi="Times New Roman"/>
          <w:sz w:val="24"/>
          <w:szCs w:val="24"/>
        </w:rPr>
      </w:pPr>
    </w:p>
    <w:bookmarkEnd w:id="5"/>
    <w:p w14:paraId="247C5D43" w14:textId="77777777" w:rsidR="00B90A1E" w:rsidRPr="002E17FD" w:rsidRDefault="00EC480E" w:rsidP="0078568D">
      <w:pPr>
        <w:autoSpaceDE w:val="0"/>
        <w:autoSpaceDN w:val="0"/>
        <w:adjustRightInd w:val="0"/>
        <w:spacing w:after="0" w:line="240" w:lineRule="auto"/>
        <w:rPr>
          <w:rFonts w:ascii="Times New Roman" w:eastAsia="TimesNewRomanPSMT" w:hAnsi="Times New Roman"/>
          <w:b/>
          <w:sz w:val="24"/>
          <w:szCs w:val="24"/>
          <w:lang w:eastAsia="ru-RU"/>
        </w:rPr>
      </w:pPr>
      <w:r w:rsidRPr="002E17FD">
        <w:rPr>
          <w:rFonts w:ascii="Times New Roman" w:hAnsi="Times New Roman"/>
          <w:b/>
          <w:sz w:val="24"/>
          <w:szCs w:val="24"/>
          <w:lang w:eastAsia="ru-RU"/>
        </w:rPr>
        <w:t>6.5</w:t>
      </w:r>
      <w:r w:rsidR="00B90A1E" w:rsidRPr="002E17FD">
        <w:rPr>
          <w:rFonts w:ascii="Times New Roman" w:hAnsi="Times New Roman"/>
          <w:b/>
          <w:sz w:val="24"/>
          <w:szCs w:val="24"/>
          <w:lang w:eastAsia="ru-RU"/>
        </w:rPr>
        <w:t xml:space="preserve"> </w:t>
      </w:r>
      <w:r w:rsidR="00416507" w:rsidRPr="002E17FD">
        <w:rPr>
          <w:rFonts w:ascii="Times New Roman" w:eastAsia="TimesNewRomanPSMT" w:hAnsi="Times New Roman"/>
          <w:b/>
          <w:sz w:val="24"/>
          <w:szCs w:val="24"/>
          <w:lang w:eastAsia="ru-RU"/>
        </w:rPr>
        <w:t>Форма выпуска и упаковка</w:t>
      </w:r>
      <w:r w:rsidR="00B90A1E" w:rsidRPr="002E17FD">
        <w:rPr>
          <w:rFonts w:ascii="Times New Roman" w:eastAsia="TimesNewRomanPSMT" w:hAnsi="Times New Roman"/>
          <w:b/>
          <w:sz w:val="24"/>
          <w:szCs w:val="24"/>
          <w:lang w:eastAsia="ru-RU"/>
        </w:rPr>
        <w:t xml:space="preserve"> </w:t>
      </w:r>
    </w:p>
    <w:p w14:paraId="52128996" w14:textId="1DFCF07F" w:rsidR="003065D4" w:rsidRPr="002E17FD" w:rsidRDefault="003065D4" w:rsidP="003065D4">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2E17FD">
        <w:rPr>
          <w:rFonts w:ascii="Times New Roman" w:eastAsia="Microsoft Sans Serif" w:hAnsi="Times New Roman"/>
          <w:sz w:val="24"/>
          <w:szCs w:val="24"/>
          <w:lang w:eastAsia="ru-RU" w:bidi="ru-RU"/>
        </w:rPr>
        <w:t xml:space="preserve">По 30 таблеток помещают в контейнеры из полиэтилена высокой плотности. </w:t>
      </w:r>
    </w:p>
    <w:p w14:paraId="2C352CD0" w14:textId="4DC8A1AE" w:rsidR="00A64919" w:rsidRPr="002E17FD" w:rsidRDefault="003065D4" w:rsidP="003065D4">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2E17FD">
        <w:rPr>
          <w:rFonts w:ascii="Times New Roman" w:eastAsia="Microsoft Sans Serif" w:hAnsi="Times New Roman"/>
          <w:sz w:val="24"/>
          <w:szCs w:val="24"/>
          <w:lang w:eastAsia="ru-RU" w:bidi="ru-RU"/>
        </w:rPr>
        <w:t>По одному контейнеру вместе с инструкцией по медицинскому применению на казахском и русском языках помещают в пачку из картона.</w:t>
      </w:r>
    </w:p>
    <w:p w14:paraId="24EF7331" w14:textId="77777777" w:rsidR="00BB272F" w:rsidRPr="002E17FD" w:rsidRDefault="00BB272F" w:rsidP="003065D4">
      <w:pPr>
        <w:autoSpaceDE w:val="0"/>
        <w:autoSpaceDN w:val="0"/>
        <w:adjustRightInd w:val="0"/>
        <w:spacing w:after="0" w:line="240" w:lineRule="auto"/>
        <w:jc w:val="both"/>
        <w:rPr>
          <w:rFonts w:ascii="Times New Roman" w:eastAsia="Microsoft Sans Serif" w:hAnsi="Times New Roman"/>
          <w:sz w:val="24"/>
          <w:szCs w:val="24"/>
          <w:lang w:eastAsia="ru-RU" w:bidi="ru-RU"/>
        </w:rPr>
      </w:pPr>
    </w:p>
    <w:p w14:paraId="0F0501EE" w14:textId="77777777" w:rsidR="00B90A1E" w:rsidRPr="002E17FD" w:rsidRDefault="00B90A1E" w:rsidP="003065D4">
      <w:pPr>
        <w:autoSpaceDE w:val="0"/>
        <w:autoSpaceDN w:val="0"/>
        <w:adjustRightInd w:val="0"/>
        <w:spacing w:after="0" w:line="240" w:lineRule="auto"/>
        <w:jc w:val="both"/>
        <w:rPr>
          <w:rFonts w:ascii="Times New Roman" w:eastAsia="TimesNewRomanPSMT" w:hAnsi="Times New Roman"/>
          <w:b/>
          <w:sz w:val="24"/>
          <w:szCs w:val="24"/>
          <w:lang w:eastAsia="ru-RU"/>
        </w:rPr>
      </w:pPr>
      <w:r w:rsidRPr="002E17FD">
        <w:rPr>
          <w:rFonts w:ascii="Times New Roman" w:hAnsi="Times New Roman"/>
          <w:b/>
          <w:sz w:val="24"/>
          <w:szCs w:val="24"/>
          <w:lang w:eastAsia="ru-RU"/>
        </w:rPr>
        <w:t xml:space="preserve">6.6 </w:t>
      </w:r>
      <w:r w:rsidRPr="002E17FD">
        <w:rPr>
          <w:rFonts w:ascii="Times New Roman" w:eastAsia="TimesNewRomanPSMT" w:hAnsi="Times New Roman"/>
          <w:b/>
          <w:sz w:val="24"/>
          <w:szCs w:val="24"/>
          <w:lang w:eastAsia="ru-RU"/>
        </w:rPr>
        <w:t>Особые меры предосторожности при уничтожении</w:t>
      </w:r>
      <w:r w:rsidR="00A26BB4" w:rsidRPr="002E17FD">
        <w:rPr>
          <w:rFonts w:ascii="Times New Roman" w:eastAsia="TimesNewRomanPSMT" w:hAnsi="Times New Roman"/>
          <w:b/>
          <w:sz w:val="24"/>
          <w:szCs w:val="24"/>
          <w:lang w:eastAsia="ru-RU"/>
        </w:rPr>
        <w:t xml:space="preserve"> </w:t>
      </w:r>
      <w:r w:rsidRPr="002E17FD">
        <w:rPr>
          <w:rFonts w:ascii="Times New Roman" w:eastAsia="TimesNewRomanPSMT" w:hAnsi="Times New Roman"/>
          <w:b/>
          <w:sz w:val="24"/>
          <w:szCs w:val="24"/>
          <w:lang w:eastAsia="ru-RU"/>
        </w:rPr>
        <w:t>использованного лекарственного препарата или отходов, полученных</w:t>
      </w:r>
      <w:r w:rsidR="00A26BB4" w:rsidRPr="002E17FD">
        <w:rPr>
          <w:rFonts w:ascii="Times New Roman" w:eastAsia="TimesNewRomanPSMT" w:hAnsi="Times New Roman"/>
          <w:b/>
          <w:sz w:val="24"/>
          <w:szCs w:val="24"/>
          <w:lang w:eastAsia="ru-RU"/>
        </w:rPr>
        <w:t xml:space="preserve"> </w:t>
      </w:r>
      <w:r w:rsidRPr="002E17FD">
        <w:rPr>
          <w:rFonts w:ascii="Times New Roman" w:eastAsia="TimesNewRomanPSMT" w:hAnsi="Times New Roman"/>
          <w:b/>
          <w:sz w:val="24"/>
          <w:szCs w:val="24"/>
          <w:lang w:eastAsia="ru-RU"/>
        </w:rPr>
        <w:t>после применения лекарственного препарата или работы с ним.</w:t>
      </w:r>
    </w:p>
    <w:p w14:paraId="4E27BD2F" w14:textId="77777777" w:rsidR="00BC55DB" w:rsidRPr="002E17FD" w:rsidRDefault="00BC55DB" w:rsidP="0078568D">
      <w:pPr>
        <w:autoSpaceDE w:val="0"/>
        <w:autoSpaceDN w:val="0"/>
        <w:adjustRightInd w:val="0"/>
        <w:spacing w:after="0" w:line="240" w:lineRule="auto"/>
        <w:rPr>
          <w:rFonts w:ascii="Times New Roman" w:hAnsi="Times New Roman"/>
          <w:sz w:val="24"/>
          <w:szCs w:val="24"/>
        </w:rPr>
      </w:pPr>
      <w:r w:rsidRPr="002E17FD">
        <w:rPr>
          <w:rFonts w:ascii="Times New Roman" w:hAnsi="Times New Roman"/>
          <w:sz w:val="24"/>
          <w:szCs w:val="24"/>
        </w:rPr>
        <w:t>Утилизировать в соответствии с требованиями.</w:t>
      </w:r>
    </w:p>
    <w:p w14:paraId="659196FA" w14:textId="77777777" w:rsidR="00724DB0" w:rsidRPr="002E17FD" w:rsidRDefault="004200EA" w:rsidP="0078568D">
      <w:pPr>
        <w:autoSpaceDE w:val="0"/>
        <w:autoSpaceDN w:val="0"/>
        <w:adjustRightInd w:val="0"/>
        <w:spacing w:after="0" w:line="240" w:lineRule="auto"/>
        <w:rPr>
          <w:rFonts w:ascii="Times New Roman" w:hAnsi="Times New Roman"/>
          <w:b/>
          <w:bCs/>
          <w:sz w:val="24"/>
          <w:szCs w:val="24"/>
        </w:rPr>
      </w:pPr>
      <w:r w:rsidRPr="002E17FD">
        <w:rPr>
          <w:rFonts w:ascii="Times New Roman" w:hAnsi="Times New Roman"/>
          <w:b/>
          <w:bCs/>
          <w:sz w:val="24"/>
          <w:szCs w:val="24"/>
        </w:rPr>
        <w:t xml:space="preserve">6.7 </w:t>
      </w:r>
      <w:r w:rsidR="005921EA" w:rsidRPr="002E17FD">
        <w:rPr>
          <w:rFonts w:ascii="Times New Roman" w:hAnsi="Times New Roman"/>
          <w:b/>
          <w:bCs/>
          <w:sz w:val="24"/>
          <w:szCs w:val="24"/>
        </w:rPr>
        <w:t>Условия о</w:t>
      </w:r>
      <w:r w:rsidRPr="002E17FD">
        <w:rPr>
          <w:rFonts w:ascii="Times New Roman" w:hAnsi="Times New Roman"/>
          <w:b/>
          <w:bCs/>
          <w:sz w:val="24"/>
          <w:szCs w:val="24"/>
        </w:rPr>
        <w:t>тпуск</w:t>
      </w:r>
      <w:r w:rsidR="005921EA" w:rsidRPr="002E17FD">
        <w:rPr>
          <w:rFonts w:ascii="Times New Roman" w:hAnsi="Times New Roman"/>
          <w:b/>
          <w:bCs/>
          <w:sz w:val="24"/>
          <w:szCs w:val="24"/>
        </w:rPr>
        <w:t>а</w:t>
      </w:r>
      <w:r w:rsidRPr="002E17FD">
        <w:rPr>
          <w:rFonts w:ascii="Times New Roman" w:hAnsi="Times New Roman"/>
          <w:b/>
          <w:bCs/>
          <w:sz w:val="24"/>
          <w:szCs w:val="24"/>
        </w:rPr>
        <w:t xml:space="preserve"> из аптек</w:t>
      </w:r>
      <w:r w:rsidR="00D041C3" w:rsidRPr="002E17FD">
        <w:rPr>
          <w:rFonts w:ascii="Times New Roman" w:hAnsi="Times New Roman"/>
          <w:b/>
          <w:bCs/>
          <w:sz w:val="24"/>
          <w:szCs w:val="24"/>
        </w:rPr>
        <w:t xml:space="preserve"> </w:t>
      </w:r>
    </w:p>
    <w:p w14:paraId="1D59EC09" w14:textId="77777777" w:rsidR="004200EA" w:rsidRPr="002E17FD" w:rsidRDefault="00724DB0" w:rsidP="0078568D">
      <w:pPr>
        <w:autoSpaceDE w:val="0"/>
        <w:autoSpaceDN w:val="0"/>
        <w:adjustRightInd w:val="0"/>
        <w:spacing w:after="0" w:line="240" w:lineRule="auto"/>
        <w:rPr>
          <w:rFonts w:ascii="Times New Roman" w:hAnsi="Times New Roman"/>
          <w:bCs/>
          <w:sz w:val="24"/>
          <w:szCs w:val="24"/>
        </w:rPr>
      </w:pPr>
      <w:r w:rsidRPr="002E17FD">
        <w:rPr>
          <w:rFonts w:ascii="Times New Roman" w:hAnsi="Times New Roman"/>
          <w:bCs/>
          <w:sz w:val="24"/>
          <w:szCs w:val="24"/>
        </w:rPr>
        <w:t>По рецепту</w:t>
      </w:r>
    </w:p>
    <w:p w14:paraId="1DC0C85F" w14:textId="77777777" w:rsidR="00D041C3" w:rsidRPr="002E17FD" w:rsidRDefault="00D041C3" w:rsidP="0078568D">
      <w:pPr>
        <w:autoSpaceDE w:val="0"/>
        <w:autoSpaceDN w:val="0"/>
        <w:adjustRightInd w:val="0"/>
        <w:spacing w:after="0" w:line="240" w:lineRule="auto"/>
        <w:rPr>
          <w:rFonts w:ascii="Times New Roman" w:hAnsi="Times New Roman"/>
          <w:b/>
          <w:sz w:val="24"/>
          <w:szCs w:val="24"/>
        </w:rPr>
      </w:pPr>
    </w:p>
    <w:p w14:paraId="07D3B9B5" w14:textId="77777777" w:rsidR="00120934" w:rsidRPr="002E17FD" w:rsidRDefault="008407EF" w:rsidP="0078568D">
      <w:pPr>
        <w:autoSpaceDE w:val="0"/>
        <w:autoSpaceDN w:val="0"/>
        <w:spacing w:after="0" w:line="240" w:lineRule="auto"/>
        <w:jc w:val="both"/>
        <w:rPr>
          <w:rFonts w:ascii="Times New Roman" w:eastAsia="Times New Roman" w:hAnsi="Times New Roman"/>
          <w:b/>
          <w:sz w:val="24"/>
          <w:szCs w:val="24"/>
          <w:lang w:eastAsia="ru-RU"/>
        </w:rPr>
      </w:pPr>
      <w:r w:rsidRPr="002E17FD">
        <w:rPr>
          <w:rFonts w:ascii="Times New Roman" w:eastAsia="Times New Roman" w:hAnsi="Times New Roman"/>
          <w:b/>
          <w:sz w:val="24"/>
          <w:szCs w:val="24"/>
          <w:lang w:val="uk-UA" w:eastAsia="ru-RU"/>
        </w:rPr>
        <w:t>7. ДЕРЖАТЕЛЬ</w:t>
      </w:r>
      <w:r w:rsidRPr="002E17FD">
        <w:rPr>
          <w:rFonts w:ascii="Times New Roman" w:eastAsia="Times New Roman" w:hAnsi="Times New Roman"/>
          <w:b/>
          <w:sz w:val="24"/>
          <w:szCs w:val="24"/>
          <w:lang w:eastAsia="ru-RU"/>
        </w:rPr>
        <w:t xml:space="preserve"> РЕГИСТРАЦИОННОГО УДОСТОВЕРЕНИЯ</w:t>
      </w:r>
    </w:p>
    <w:p w14:paraId="60881C62" w14:textId="77777777" w:rsidR="00A64919" w:rsidRPr="002E17FD" w:rsidRDefault="00A64919" w:rsidP="00A64919">
      <w:pPr>
        <w:pStyle w:val="Style5"/>
        <w:tabs>
          <w:tab w:val="left" w:pos="7371"/>
        </w:tabs>
        <w:spacing w:line="240" w:lineRule="auto"/>
        <w:rPr>
          <w:rFonts w:eastAsia="Microsoft Sans Serif"/>
          <w:lang w:bidi="ru-RU"/>
        </w:rPr>
      </w:pPr>
      <w:r w:rsidRPr="002E17FD">
        <w:rPr>
          <w:rFonts w:eastAsia="Microsoft Sans Serif"/>
          <w:lang w:val="en-US" w:bidi="ru-RU"/>
        </w:rPr>
        <w:t>BDR</w:t>
      </w:r>
      <w:r w:rsidRPr="002E17FD">
        <w:rPr>
          <w:rFonts w:eastAsia="Microsoft Sans Serif"/>
          <w:lang w:bidi="ru-RU"/>
        </w:rPr>
        <w:t xml:space="preserve"> </w:t>
      </w:r>
      <w:r w:rsidRPr="002E17FD">
        <w:rPr>
          <w:rFonts w:eastAsia="Microsoft Sans Serif"/>
          <w:lang w:val="en-US" w:bidi="ru-RU"/>
        </w:rPr>
        <w:t>Pharmaceuticals</w:t>
      </w:r>
      <w:r w:rsidRPr="002E17FD">
        <w:rPr>
          <w:rFonts w:eastAsia="Microsoft Sans Serif"/>
          <w:lang w:bidi="ru-RU"/>
        </w:rPr>
        <w:t xml:space="preserve"> </w:t>
      </w:r>
      <w:r w:rsidRPr="002E17FD">
        <w:rPr>
          <w:rFonts w:eastAsia="Microsoft Sans Serif"/>
          <w:lang w:val="en-US" w:bidi="ru-RU"/>
        </w:rPr>
        <w:t>International</w:t>
      </w:r>
      <w:r w:rsidRPr="002E17FD">
        <w:rPr>
          <w:rFonts w:eastAsia="Microsoft Sans Serif"/>
          <w:lang w:bidi="ru-RU"/>
        </w:rPr>
        <w:t xml:space="preserve"> </w:t>
      </w:r>
      <w:r w:rsidRPr="002E17FD">
        <w:rPr>
          <w:rFonts w:eastAsia="Microsoft Sans Serif"/>
          <w:lang w:val="en-US" w:bidi="ru-RU"/>
        </w:rPr>
        <w:t>Pvt</w:t>
      </w:r>
      <w:r w:rsidRPr="002E17FD">
        <w:rPr>
          <w:rFonts w:eastAsia="Microsoft Sans Serif"/>
          <w:lang w:bidi="ru-RU"/>
        </w:rPr>
        <w:t xml:space="preserve">. </w:t>
      </w:r>
      <w:r w:rsidRPr="002E17FD">
        <w:rPr>
          <w:rFonts w:eastAsia="Microsoft Sans Serif"/>
          <w:lang w:val="en-US" w:bidi="ru-RU"/>
        </w:rPr>
        <w:t>Ltd</w:t>
      </w:r>
      <w:r w:rsidRPr="002E17FD">
        <w:rPr>
          <w:rFonts w:eastAsia="Microsoft Sans Serif"/>
          <w:lang w:bidi="ru-RU"/>
        </w:rPr>
        <w:t xml:space="preserve">., </w:t>
      </w:r>
    </w:p>
    <w:p w14:paraId="60B5CE51" w14:textId="77777777" w:rsidR="00A64919" w:rsidRPr="002E17FD" w:rsidRDefault="00A64919" w:rsidP="00A64919">
      <w:pPr>
        <w:pStyle w:val="Style5"/>
        <w:tabs>
          <w:tab w:val="left" w:pos="7371"/>
        </w:tabs>
        <w:spacing w:line="240" w:lineRule="auto"/>
        <w:rPr>
          <w:rFonts w:eastAsia="Microsoft Sans Serif"/>
          <w:lang w:bidi="ru-RU"/>
        </w:rPr>
      </w:pPr>
      <w:r w:rsidRPr="002E17FD">
        <w:rPr>
          <w:rFonts w:eastAsia="Microsoft Sans Serif"/>
          <w:lang w:val="en-US" w:bidi="ru-RU"/>
        </w:rPr>
        <w:t>R.S. No: 578, Near Effluent Cha</w:t>
      </w:r>
      <w:r w:rsidR="00C51BB4" w:rsidRPr="002E17FD">
        <w:rPr>
          <w:rFonts w:eastAsia="Microsoft Sans Serif"/>
          <w:lang w:val="en-US" w:bidi="ru-RU"/>
        </w:rPr>
        <w:t>n</w:t>
      </w:r>
      <w:r w:rsidRPr="002E17FD">
        <w:rPr>
          <w:rFonts w:eastAsia="Microsoft Sans Serif"/>
          <w:lang w:val="en-US" w:bidi="ru-RU"/>
        </w:rPr>
        <w:t>nel Road, Village: Luna, Taluka: Padra, District: Vadodara – 391440. Gujarat</w:t>
      </w:r>
      <w:r w:rsidR="00481C27" w:rsidRPr="002E17FD">
        <w:rPr>
          <w:rFonts w:eastAsia="Microsoft Sans Serif"/>
          <w:lang w:bidi="ru-RU"/>
        </w:rPr>
        <w:t>, Индия.</w:t>
      </w:r>
    </w:p>
    <w:p w14:paraId="39B8D6CA" w14:textId="77777777" w:rsidR="00A64919" w:rsidRPr="002E17FD" w:rsidRDefault="00481C27" w:rsidP="00A64919">
      <w:pPr>
        <w:pStyle w:val="Style5"/>
        <w:tabs>
          <w:tab w:val="left" w:pos="7371"/>
        </w:tabs>
        <w:spacing w:line="240" w:lineRule="auto"/>
        <w:rPr>
          <w:rFonts w:eastAsia="Microsoft Sans Serif"/>
          <w:lang w:bidi="ru-RU"/>
        </w:rPr>
      </w:pPr>
      <w:r w:rsidRPr="002E17FD">
        <w:rPr>
          <w:rFonts w:eastAsia="Microsoft Sans Serif"/>
          <w:lang w:bidi="ru-RU"/>
        </w:rPr>
        <w:t>Т</w:t>
      </w:r>
      <w:r w:rsidR="00A64919" w:rsidRPr="002E17FD">
        <w:rPr>
          <w:rFonts w:eastAsia="Microsoft Sans Serif"/>
          <w:lang w:bidi="ru-RU"/>
        </w:rPr>
        <w:t>ел. +91 22 4056 0560</w:t>
      </w:r>
      <w:r w:rsidRPr="002E17FD">
        <w:rPr>
          <w:rFonts w:eastAsia="Microsoft Sans Serif"/>
          <w:lang w:bidi="ru-RU"/>
        </w:rPr>
        <w:t xml:space="preserve">, </w:t>
      </w:r>
      <w:r w:rsidR="00A64919" w:rsidRPr="002E17FD">
        <w:rPr>
          <w:rFonts w:eastAsia="Microsoft Sans Serif"/>
          <w:lang w:val="en-US" w:bidi="ru-RU"/>
        </w:rPr>
        <w:t>bdrpharma</w:t>
      </w:r>
      <w:r w:rsidR="00A64919" w:rsidRPr="002E17FD">
        <w:rPr>
          <w:rFonts w:eastAsia="Microsoft Sans Serif"/>
          <w:lang w:bidi="ru-RU"/>
        </w:rPr>
        <w:t>@</w:t>
      </w:r>
      <w:r w:rsidR="00A64919" w:rsidRPr="002E17FD">
        <w:rPr>
          <w:rFonts w:eastAsia="Microsoft Sans Serif"/>
          <w:lang w:val="en-US" w:bidi="ru-RU"/>
        </w:rPr>
        <w:t>vsnl</w:t>
      </w:r>
      <w:r w:rsidR="00A64919" w:rsidRPr="002E17FD">
        <w:rPr>
          <w:rFonts w:eastAsia="Microsoft Sans Serif"/>
          <w:lang w:bidi="ru-RU"/>
        </w:rPr>
        <w:t>.</w:t>
      </w:r>
      <w:r w:rsidR="00A64919" w:rsidRPr="002E17FD">
        <w:rPr>
          <w:rFonts w:eastAsia="Microsoft Sans Serif"/>
          <w:lang w:val="en-US" w:bidi="ru-RU"/>
        </w:rPr>
        <w:t>com</w:t>
      </w:r>
    </w:p>
    <w:p w14:paraId="0314C34D" w14:textId="77777777" w:rsidR="00A64919" w:rsidRPr="002E17FD" w:rsidRDefault="00A64919" w:rsidP="00A64919">
      <w:pPr>
        <w:pStyle w:val="Style5"/>
        <w:tabs>
          <w:tab w:val="left" w:pos="7371"/>
        </w:tabs>
        <w:spacing w:line="240" w:lineRule="auto"/>
        <w:rPr>
          <w:rFonts w:eastAsia="Microsoft Sans Serif"/>
          <w:lang w:bidi="ru-RU"/>
        </w:rPr>
      </w:pPr>
      <w:r w:rsidRPr="002E17FD">
        <w:rPr>
          <w:rFonts w:eastAsia="Microsoft Sans Serif"/>
          <w:lang w:bidi="ru-RU"/>
        </w:rPr>
        <w:t xml:space="preserve">      </w:t>
      </w:r>
    </w:p>
    <w:p w14:paraId="4E951220" w14:textId="77777777" w:rsidR="00A64919" w:rsidRPr="002E17FD" w:rsidRDefault="00A64919" w:rsidP="00B6462C">
      <w:pPr>
        <w:pStyle w:val="Style5"/>
        <w:tabs>
          <w:tab w:val="left" w:pos="7371"/>
        </w:tabs>
        <w:spacing w:line="240" w:lineRule="auto"/>
        <w:jc w:val="left"/>
        <w:rPr>
          <w:rFonts w:eastAsia="Microsoft Sans Serif"/>
          <w:b/>
          <w:bCs/>
          <w:lang w:bidi="ru-RU"/>
        </w:rPr>
      </w:pPr>
      <w:r w:rsidRPr="002E17FD">
        <w:rPr>
          <w:rFonts w:eastAsia="Microsoft Sans Serif"/>
          <w:b/>
          <w:bCs/>
          <w:lang w:bidi="ru-RU"/>
        </w:rPr>
        <w:t>7.1.</w:t>
      </w:r>
      <w:r w:rsidR="00B6462C" w:rsidRPr="002E17FD">
        <w:rPr>
          <w:rFonts w:eastAsia="Microsoft Sans Serif"/>
          <w:b/>
          <w:bCs/>
          <w:lang w:bidi="ru-RU"/>
        </w:rPr>
        <w:t xml:space="preserve"> </w:t>
      </w:r>
      <w:r w:rsidRPr="002E17FD">
        <w:rPr>
          <w:rFonts w:eastAsia="Microsoft Sans Serif"/>
          <w:b/>
          <w:bCs/>
          <w:lang w:bidi="ru-RU"/>
        </w:rPr>
        <w:t>ПРЕДСТАВИТЕЛЬ ДЕРЖАТЕЛЯ РЕГИСТРАЦИОННОГО УДОСТОВЕРЕНИЯ</w:t>
      </w:r>
    </w:p>
    <w:p w14:paraId="47E53576" w14:textId="77777777" w:rsidR="00A64919" w:rsidRPr="002E17FD" w:rsidRDefault="00A64919" w:rsidP="00A64919">
      <w:pPr>
        <w:pStyle w:val="Style5"/>
        <w:tabs>
          <w:tab w:val="left" w:pos="7371"/>
        </w:tabs>
        <w:spacing w:line="240" w:lineRule="auto"/>
        <w:rPr>
          <w:rFonts w:eastAsia="Microsoft Sans Serif"/>
          <w:lang w:bidi="ru-RU"/>
        </w:rPr>
      </w:pPr>
      <w:r w:rsidRPr="002E17FD">
        <w:rPr>
          <w:rFonts w:eastAsia="Microsoft Sans Serif"/>
          <w:lang w:bidi="ru-RU"/>
        </w:rPr>
        <w:t>Претензии потребителей направлять по адресу:</w:t>
      </w:r>
    </w:p>
    <w:p w14:paraId="3F40C68F" w14:textId="77777777" w:rsidR="00A64919" w:rsidRPr="002E17FD" w:rsidRDefault="00A64919" w:rsidP="00A64919">
      <w:pPr>
        <w:pStyle w:val="Style5"/>
        <w:tabs>
          <w:tab w:val="left" w:pos="7371"/>
        </w:tabs>
        <w:spacing w:line="240" w:lineRule="auto"/>
        <w:rPr>
          <w:rFonts w:eastAsia="Microsoft Sans Serif"/>
          <w:lang w:bidi="ru-RU"/>
        </w:rPr>
      </w:pPr>
      <w:r w:rsidRPr="002E17FD">
        <w:rPr>
          <w:rFonts w:eastAsia="Microsoft Sans Serif"/>
          <w:lang w:bidi="ru-RU"/>
        </w:rPr>
        <w:t xml:space="preserve">ТОО Rogers Pharma, Республика Казахстан, 050043, </w:t>
      </w:r>
    </w:p>
    <w:p w14:paraId="330E3BDC" w14:textId="77777777" w:rsidR="00A64919" w:rsidRPr="002E17FD" w:rsidRDefault="00A64919" w:rsidP="00A64919">
      <w:pPr>
        <w:pStyle w:val="Style5"/>
        <w:tabs>
          <w:tab w:val="left" w:pos="7371"/>
        </w:tabs>
        <w:spacing w:line="240" w:lineRule="auto"/>
        <w:rPr>
          <w:rFonts w:eastAsia="Microsoft Sans Serif"/>
          <w:lang w:bidi="ru-RU"/>
        </w:rPr>
      </w:pPr>
      <w:r w:rsidRPr="002E17FD">
        <w:rPr>
          <w:rFonts w:eastAsia="Microsoft Sans Serif"/>
          <w:lang w:bidi="ru-RU"/>
        </w:rPr>
        <w:t>г. Алматы, мкн. Мирас, 157, н.п. 819.</w:t>
      </w:r>
    </w:p>
    <w:p w14:paraId="441B2D94" w14:textId="3A2FA359" w:rsidR="00A64919" w:rsidRPr="002E17FD" w:rsidRDefault="00A64919" w:rsidP="00A64919">
      <w:pPr>
        <w:pStyle w:val="Style5"/>
        <w:tabs>
          <w:tab w:val="left" w:pos="7371"/>
        </w:tabs>
        <w:spacing w:line="240" w:lineRule="auto"/>
        <w:rPr>
          <w:rFonts w:eastAsia="Microsoft Sans Serif"/>
          <w:lang w:bidi="ru-RU"/>
        </w:rPr>
      </w:pPr>
      <w:r w:rsidRPr="002E17FD">
        <w:rPr>
          <w:rFonts w:eastAsia="Microsoft Sans Serif"/>
          <w:lang w:bidi="ru-RU"/>
        </w:rPr>
        <w:t>Тел. +7</w:t>
      </w:r>
      <w:r w:rsidR="007502D2" w:rsidRPr="002E17FD">
        <w:rPr>
          <w:rFonts w:eastAsia="Microsoft Sans Serif"/>
          <w:lang w:bidi="ru-RU"/>
        </w:rPr>
        <w:t> (</w:t>
      </w:r>
      <w:r w:rsidRPr="002E17FD">
        <w:rPr>
          <w:rFonts w:eastAsia="Microsoft Sans Serif"/>
          <w:lang w:bidi="ru-RU"/>
        </w:rPr>
        <w:t>727</w:t>
      </w:r>
      <w:r w:rsidR="007502D2" w:rsidRPr="002E17FD">
        <w:rPr>
          <w:rFonts w:eastAsia="Microsoft Sans Serif"/>
          <w:lang w:bidi="ru-RU"/>
        </w:rPr>
        <w:t>) </w:t>
      </w:r>
      <w:r w:rsidRPr="002E17FD">
        <w:rPr>
          <w:rFonts w:eastAsia="Microsoft Sans Serif"/>
          <w:lang w:bidi="ru-RU"/>
        </w:rPr>
        <w:t>311</w:t>
      </w:r>
      <w:r w:rsidR="007502D2" w:rsidRPr="002E17FD">
        <w:rPr>
          <w:rFonts w:eastAsia="Microsoft Sans Serif"/>
          <w:lang w:bidi="ru-RU"/>
        </w:rPr>
        <w:t>-</w:t>
      </w:r>
      <w:r w:rsidRPr="002E17FD">
        <w:rPr>
          <w:rFonts w:eastAsia="Microsoft Sans Serif"/>
          <w:lang w:bidi="ru-RU"/>
        </w:rPr>
        <w:t>81</w:t>
      </w:r>
      <w:r w:rsidR="007502D2" w:rsidRPr="002E17FD">
        <w:rPr>
          <w:rFonts w:eastAsia="Microsoft Sans Serif"/>
          <w:lang w:bidi="ru-RU"/>
        </w:rPr>
        <w:t>-</w:t>
      </w:r>
      <w:r w:rsidRPr="002E17FD">
        <w:rPr>
          <w:rFonts w:eastAsia="Microsoft Sans Serif"/>
          <w:lang w:bidi="ru-RU"/>
        </w:rPr>
        <w:t>96/97</w:t>
      </w:r>
      <w:r w:rsidR="00481C27" w:rsidRPr="002E17FD">
        <w:rPr>
          <w:rFonts w:eastAsia="Microsoft Sans Serif"/>
          <w:lang w:bidi="ru-RU"/>
        </w:rPr>
        <w:t xml:space="preserve">, </w:t>
      </w:r>
      <w:r w:rsidR="00481C27" w:rsidRPr="002E17FD">
        <w:rPr>
          <w:rFonts w:eastAsia="Microsoft Sans Serif"/>
          <w:lang w:val="en-US" w:bidi="ru-RU"/>
        </w:rPr>
        <w:t>o</w:t>
      </w:r>
      <w:r w:rsidRPr="002E17FD">
        <w:rPr>
          <w:rFonts w:eastAsia="Microsoft Sans Serif"/>
          <w:lang w:bidi="ru-RU"/>
        </w:rPr>
        <w:t xml:space="preserve">ffice.secretary@rogersgroup.in  </w:t>
      </w:r>
    </w:p>
    <w:p w14:paraId="61B06B9E" w14:textId="77777777" w:rsidR="00A64919" w:rsidRPr="002E17FD" w:rsidRDefault="00A64919" w:rsidP="00A64919">
      <w:pPr>
        <w:pStyle w:val="Style5"/>
        <w:tabs>
          <w:tab w:val="left" w:pos="7371"/>
        </w:tabs>
        <w:spacing w:line="240" w:lineRule="auto"/>
        <w:rPr>
          <w:rFonts w:eastAsia="Microsoft Sans Serif"/>
          <w:lang w:bidi="ru-RU"/>
        </w:rPr>
      </w:pPr>
      <w:r w:rsidRPr="002E17FD">
        <w:rPr>
          <w:rFonts w:eastAsia="Microsoft Sans Serif"/>
          <w:lang w:bidi="ru-RU"/>
        </w:rPr>
        <w:t xml:space="preserve">    </w:t>
      </w:r>
    </w:p>
    <w:p w14:paraId="481D78F8" w14:textId="77777777" w:rsidR="00A64919" w:rsidRPr="002E17FD" w:rsidRDefault="00A64919" w:rsidP="00A64919">
      <w:pPr>
        <w:pStyle w:val="Style5"/>
        <w:tabs>
          <w:tab w:val="left" w:pos="7371"/>
        </w:tabs>
        <w:spacing w:line="240" w:lineRule="auto"/>
        <w:rPr>
          <w:rFonts w:eastAsia="Microsoft Sans Serif"/>
          <w:b/>
          <w:bCs/>
          <w:lang w:bidi="ru-RU"/>
        </w:rPr>
      </w:pPr>
      <w:r w:rsidRPr="002E17FD">
        <w:rPr>
          <w:rFonts w:eastAsia="Microsoft Sans Serif"/>
          <w:b/>
          <w:bCs/>
          <w:lang w:bidi="ru-RU"/>
        </w:rPr>
        <w:t>8. НОМЕР РЕГИСТРАЦИОННОГО УДОСТОВЕРЕНИЯ</w:t>
      </w:r>
    </w:p>
    <w:p w14:paraId="2DB6A381" w14:textId="626298A3" w:rsidR="00A64919" w:rsidRDefault="00131379" w:rsidP="00A64919">
      <w:pPr>
        <w:pStyle w:val="Style5"/>
        <w:tabs>
          <w:tab w:val="left" w:pos="7371"/>
        </w:tabs>
        <w:spacing w:line="240" w:lineRule="auto"/>
        <w:rPr>
          <w:rFonts w:eastAsia="Microsoft Sans Serif"/>
          <w:lang w:bidi="ru-RU"/>
        </w:rPr>
      </w:pPr>
      <w:r w:rsidRPr="00131379">
        <w:rPr>
          <w:rFonts w:eastAsia="Microsoft Sans Serif"/>
          <w:lang w:bidi="ru-RU"/>
        </w:rPr>
        <w:t>РК-ЛС-5№025003</w:t>
      </w:r>
    </w:p>
    <w:p w14:paraId="7B869DB2" w14:textId="77777777" w:rsidR="00131379" w:rsidRPr="002E17FD" w:rsidRDefault="00131379" w:rsidP="00A64919">
      <w:pPr>
        <w:pStyle w:val="Style5"/>
        <w:tabs>
          <w:tab w:val="left" w:pos="7371"/>
        </w:tabs>
        <w:spacing w:line="240" w:lineRule="auto"/>
        <w:rPr>
          <w:rFonts w:eastAsia="Microsoft Sans Serif"/>
          <w:lang w:bidi="ru-RU"/>
        </w:rPr>
      </w:pPr>
    </w:p>
    <w:p w14:paraId="52AB446F" w14:textId="77777777" w:rsidR="00A64919" w:rsidRPr="002E17FD" w:rsidRDefault="00A64919" w:rsidP="00A64919">
      <w:pPr>
        <w:pStyle w:val="Style5"/>
        <w:tabs>
          <w:tab w:val="left" w:pos="7371"/>
        </w:tabs>
        <w:spacing w:line="240" w:lineRule="auto"/>
        <w:rPr>
          <w:rFonts w:eastAsia="Microsoft Sans Serif"/>
          <w:b/>
          <w:bCs/>
          <w:lang w:bidi="ru-RU"/>
        </w:rPr>
      </w:pPr>
      <w:r w:rsidRPr="002E17FD">
        <w:rPr>
          <w:rFonts w:eastAsia="Microsoft Sans Serif"/>
          <w:b/>
          <w:bCs/>
          <w:lang w:bidi="ru-RU"/>
        </w:rPr>
        <w:t>9. ДАТА ПЕРВИЧНОЙ РЕГИСТРАЦИИ (ПОДТВЕРЖДЕНИЯ РЕГИСТРАЦИИ, ПЕРЕРЕГИСТРАЦИИ)</w:t>
      </w:r>
    </w:p>
    <w:p w14:paraId="1B3E6C00" w14:textId="7EF1F6FE" w:rsidR="00B872F3" w:rsidRPr="00B872F3" w:rsidRDefault="00B872F3" w:rsidP="00A64919">
      <w:pPr>
        <w:pStyle w:val="Style5"/>
        <w:tabs>
          <w:tab w:val="left" w:pos="7371"/>
        </w:tabs>
        <w:spacing w:line="240" w:lineRule="auto"/>
        <w:rPr>
          <w:rFonts w:eastAsia="Microsoft Sans Serif"/>
          <w:lang w:val="en-US" w:bidi="ru-RU"/>
        </w:rPr>
      </w:pPr>
      <w:r>
        <w:rPr>
          <w:rFonts w:eastAsia="Microsoft Sans Serif"/>
          <w:lang w:val="en-US" w:bidi="ru-RU"/>
        </w:rPr>
        <w:t>23.04.2021</w:t>
      </w:r>
    </w:p>
    <w:p w14:paraId="0F6D357D" w14:textId="57170695" w:rsidR="00A64919" w:rsidRPr="00B872F3" w:rsidRDefault="00131379" w:rsidP="00A64919">
      <w:pPr>
        <w:pStyle w:val="Style5"/>
        <w:tabs>
          <w:tab w:val="left" w:pos="7371"/>
        </w:tabs>
        <w:spacing w:line="240" w:lineRule="auto"/>
        <w:rPr>
          <w:rFonts w:eastAsia="Microsoft Sans Serif"/>
          <w:lang w:bidi="ru-RU"/>
        </w:rPr>
      </w:pPr>
      <w:r w:rsidRPr="00B872F3">
        <w:rPr>
          <w:rFonts w:eastAsia="Microsoft Sans Serif"/>
          <w:lang w:bidi="ru-RU"/>
        </w:rPr>
        <w:t>25</w:t>
      </w:r>
      <w:r w:rsidR="00B872F3">
        <w:rPr>
          <w:rFonts w:eastAsia="Microsoft Sans Serif"/>
          <w:lang w:val="en-US" w:bidi="ru-RU"/>
        </w:rPr>
        <w:t>.</w:t>
      </w:r>
      <w:r w:rsidRPr="00B872F3">
        <w:rPr>
          <w:rFonts w:eastAsia="Microsoft Sans Serif"/>
          <w:lang w:bidi="ru-RU"/>
        </w:rPr>
        <w:t>07</w:t>
      </w:r>
      <w:r w:rsidR="00B872F3">
        <w:rPr>
          <w:rFonts w:eastAsia="Microsoft Sans Serif"/>
          <w:lang w:val="en-US" w:bidi="ru-RU"/>
        </w:rPr>
        <w:t>.</w:t>
      </w:r>
      <w:r w:rsidRPr="00B872F3">
        <w:rPr>
          <w:rFonts w:eastAsia="Microsoft Sans Serif"/>
          <w:lang w:bidi="ru-RU"/>
        </w:rPr>
        <w:t>2025</w:t>
      </w:r>
    </w:p>
    <w:p w14:paraId="7D2BEA74" w14:textId="77777777" w:rsidR="00131379" w:rsidRPr="00B872F3" w:rsidRDefault="00131379" w:rsidP="00A64919">
      <w:pPr>
        <w:pStyle w:val="Style5"/>
        <w:tabs>
          <w:tab w:val="left" w:pos="7371"/>
        </w:tabs>
        <w:spacing w:line="240" w:lineRule="auto"/>
        <w:rPr>
          <w:rFonts w:eastAsia="Microsoft Sans Serif"/>
          <w:lang w:bidi="ru-RU"/>
        </w:rPr>
      </w:pPr>
    </w:p>
    <w:p w14:paraId="6BA9A3BF" w14:textId="77777777" w:rsidR="00A64919" w:rsidRPr="002E17FD" w:rsidRDefault="00A64919" w:rsidP="00A64919">
      <w:pPr>
        <w:pStyle w:val="Style5"/>
        <w:tabs>
          <w:tab w:val="left" w:pos="7371"/>
        </w:tabs>
        <w:spacing w:line="240" w:lineRule="auto"/>
        <w:rPr>
          <w:rFonts w:eastAsia="Microsoft Sans Serif"/>
          <w:b/>
          <w:bCs/>
          <w:lang w:bidi="ru-RU"/>
        </w:rPr>
      </w:pPr>
      <w:r w:rsidRPr="002E17FD">
        <w:rPr>
          <w:rFonts w:eastAsia="Microsoft Sans Serif"/>
          <w:b/>
          <w:bCs/>
          <w:lang w:bidi="ru-RU"/>
        </w:rPr>
        <w:t xml:space="preserve">10. </w:t>
      </w:r>
      <w:r w:rsidR="00C25238" w:rsidRPr="002E17FD">
        <w:rPr>
          <w:rFonts w:eastAsia="Microsoft Sans Serif"/>
          <w:b/>
          <w:bCs/>
          <w:lang w:bidi="ru-RU"/>
        </w:rPr>
        <w:t>ДАТА ПЕРЕСМОТРА ТЕКСТА</w:t>
      </w:r>
    </w:p>
    <w:p w14:paraId="65FBBE16" w14:textId="77777777" w:rsidR="00A64919" w:rsidRPr="002E17FD" w:rsidRDefault="00A64919" w:rsidP="00A64919">
      <w:pPr>
        <w:pStyle w:val="Style5"/>
        <w:tabs>
          <w:tab w:val="left" w:pos="7371"/>
        </w:tabs>
        <w:spacing w:line="240" w:lineRule="auto"/>
        <w:rPr>
          <w:rFonts w:eastAsia="Microsoft Sans Serif"/>
          <w:lang w:bidi="ru-RU"/>
        </w:rPr>
      </w:pPr>
      <w:r w:rsidRPr="002E17FD">
        <w:rPr>
          <w:rFonts w:eastAsia="Microsoft Sans Serif"/>
          <w:lang w:bidi="ru-RU"/>
        </w:rPr>
        <w:t xml:space="preserve">   </w:t>
      </w:r>
    </w:p>
    <w:p w14:paraId="05B83AD2" w14:textId="6C416E91" w:rsidR="00B91443" w:rsidRPr="00A63448" w:rsidRDefault="00A64919" w:rsidP="00A64919">
      <w:pPr>
        <w:pStyle w:val="Style5"/>
        <w:widowControl/>
        <w:tabs>
          <w:tab w:val="left" w:pos="7371"/>
        </w:tabs>
        <w:spacing w:line="240" w:lineRule="auto"/>
        <w:rPr>
          <w:rFonts w:eastAsia="Microsoft Sans Serif"/>
          <w:lang w:bidi="ru-RU"/>
        </w:rPr>
      </w:pPr>
      <w:r w:rsidRPr="002E17FD">
        <w:rPr>
          <w:rFonts w:eastAsia="Microsoft Sans Serif"/>
          <w:lang w:bidi="ru-RU"/>
        </w:rPr>
        <w:lastRenderedPageBreak/>
        <w:t>Общая характеристика лекарственного препарата доступна на официальном сайте www.ndda.kz.</w:t>
      </w:r>
    </w:p>
    <w:sectPr w:rsidR="00B91443" w:rsidRPr="00A63448" w:rsidSect="00F97B57">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EBD0" w14:textId="77777777" w:rsidR="005238F0" w:rsidRDefault="005238F0" w:rsidP="00D275FC">
      <w:pPr>
        <w:spacing w:after="0" w:line="240" w:lineRule="auto"/>
      </w:pPr>
      <w:r>
        <w:separator/>
      </w:r>
    </w:p>
  </w:endnote>
  <w:endnote w:type="continuationSeparator" w:id="0">
    <w:p w14:paraId="4DDBF368" w14:textId="77777777" w:rsidR="005238F0" w:rsidRDefault="005238F0"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8D99B" w14:textId="77777777" w:rsidR="005238F0" w:rsidRDefault="005238F0" w:rsidP="00D275FC">
      <w:pPr>
        <w:spacing w:after="0" w:line="240" w:lineRule="auto"/>
      </w:pPr>
      <w:r>
        <w:separator/>
      </w:r>
    </w:p>
  </w:footnote>
  <w:footnote w:type="continuationSeparator" w:id="0">
    <w:p w14:paraId="77000418" w14:textId="77777777" w:rsidR="005238F0" w:rsidRDefault="005238F0"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932C" w14:textId="77777777" w:rsidR="00766202" w:rsidRDefault="006F249B">
    <w:pPr>
      <w:pStyle w:val="af1"/>
    </w:pPr>
    <w:r>
      <w:rPr>
        <w:noProof/>
        <w:lang w:eastAsia="ru-RU"/>
      </w:rPr>
      <mc:AlternateContent>
        <mc:Choice Requires="wps">
          <w:drawing>
            <wp:anchor distT="0" distB="0" distL="114300" distR="114300" simplePos="0" relativeHeight="251657728" behindDoc="0" locked="0" layoutInCell="1" allowOverlap="1" wp14:anchorId="23E80ADC" wp14:editId="17F556B1">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3A0B83B1" w14:textId="77777777" w:rsidR="00766202" w:rsidRPr="00D275FC" w:rsidRDefault="00766202">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E80ADC"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3A0B83B1" w14:textId="77777777" w:rsidR="00766202" w:rsidRPr="00D275FC" w:rsidRDefault="00766202">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24381D"/>
    <w:multiLevelType w:val="hybridMultilevel"/>
    <w:tmpl w:val="E7622A08"/>
    <w:lvl w:ilvl="0" w:tplc="CC546210">
      <w:start w:val="1"/>
      <w:numFmt w:val="decimal"/>
      <w:lvlText w:val="%1."/>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48DC90">
      <w:start w:val="1"/>
      <w:numFmt w:val="lowerLetter"/>
      <w:lvlText w:val="%2"/>
      <w:lvlJc w:val="left"/>
      <w:pPr>
        <w:ind w:left="1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38A9A6">
      <w:start w:val="1"/>
      <w:numFmt w:val="lowerRoman"/>
      <w:lvlText w:val="%3"/>
      <w:lvlJc w:val="left"/>
      <w:pPr>
        <w:ind w:left="1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B01ECA">
      <w:start w:val="1"/>
      <w:numFmt w:val="decimal"/>
      <w:lvlText w:val="%4"/>
      <w:lvlJc w:val="left"/>
      <w:pPr>
        <w:ind w:left="2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563BB4">
      <w:start w:val="1"/>
      <w:numFmt w:val="lowerLetter"/>
      <w:lvlText w:val="%5"/>
      <w:lvlJc w:val="left"/>
      <w:pPr>
        <w:ind w:left="3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E609F2">
      <w:start w:val="1"/>
      <w:numFmt w:val="lowerRoman"/>
      <w:lvlText w:val="%6"/>
      <w:lvlJc w:val="left"/>
      <w:pPr>
        <w:ind w:left="4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9435B6">
      <w:start w:val="1"/>
      <w:numFmt w:val="decimal"/>
      <w:lvlText w:val="%7"/>
      <w:lvlJc w:val="left"/>
      <w:pPr>
        <w:ind w:left="4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C22BCE">
      <w:start w:val="1"/>
      <w:numFmt w:val="lowerLetter"/>
      <w:lvlText w:val="%8"/>
      <w:lvlJc w:val="left"/>
      <w:pPr>
        <w:ind w:left="5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96227C">
      <w:start w:val="1"/>
      <w:numFmt w:val="lowerRoman"/>
      <w:lvlText w:val="%9"/>
      <w:lvlJc w:val="left"/>
      <w:pPr>
        <w:ind w:left="6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C4C76"/>
    <w:multiLevelType w:val="hybridMultilevel"/>
    <w:tmpl w:val="FB324F54"/>
    <w:lvl w:ilvl="0" w:tplc="D1F2F0A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A676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B6660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8410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8050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3C703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D40E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2ADA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3AC1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1A4BB1"/>
    <w:multiLevelType w:val="hybridMultilevel"/>
    <w:tmpl w:val="12CED00E"/>
    <w:lvl w:ilvl="0" w:tplc="40DA6ACE">
      <w:start w:val="1"/>
      <w:numFmt w:val="lowerLetter"/>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0890D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BE67B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00136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7A3ED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7AED4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A0CDD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CC215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8EF64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B245CF"/>
    <w:multiLevelType w:val="hybridMultilevel"/>
    <w:tmpl w:val="B7F83A4A"/>
    <w:lvl w:ilvl="0" w:tplc="B23421F6">
      <w:start w:val="1"/>
      <w:numFmt w:val="lowerLetter"/>
      <w:lvlText w:val="%1."/>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F6AF08">
      <w:start w:val="1"/>
      <w:numFmt w:val="lowerLetter"/>
      <w:lvlText w:val="%2"/>
      <w:lvlJc w:val="left"/>
      <w:pPr>
        <w:ind w:left="1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6EA81A">
      <w:start w:val="1"/>
      <w:numFmt w:val="lowerRoman"/>
      <w:lvlText w:val="%3"/>
      <w:lvlJc w:val="left"/>
      <w:pPr>
        <w:ind w:left="1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AEE984">
      <w:start w:val="1"/>
      <w:numFmt w:val="decimal"/>
      <w:lvlText w:val="%4"/>
      <w:lvlJc w:val="left"/>
      <w:pPr>
        <w:ind w:left="2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46094E">
      <w:start w:val="1"/>
      <w:numFmt w:val="lowerLetter"/>
      <w:lvlText w:val="%5"/>
      <w:lvlJc w:val="left"/>
      <w:pPr>
        <w:ind w:left="3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EA5370">
      <w:start w:val="1"/>
      <w:numFmt w:val="lowerRoman"/>
      <w:lvlText w:val="%6"/>
      <w:lvlJc w:val="left"/>
      <w:pPr>
        <w:ind w:left="4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8C3538">
      <w:start w:val="1"/>
      <w:numFmt w:val="decimal"/>
      <w:lvlText w:val="%7"/>
      <w:lvlJc w:val="left"/>
      <w:pPr>
        <w:ind w:left="4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065B2E">
      <w:start w:val="1"/>
      <w:numFmt w:val="lowerLetter"/>
      <w:lvlText w:val="%8"/>
      <w:lvlJc w:val="left"/>
      <w:pPr>
        <w:ind w:left="5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AEAC0E">
      <w:start w:val="1"/>
      <w:numFmt w:val="lowerRoman"/>
      <w:lvlText w:val="%9"/>
      <w:lvlJc w:val="left"/>
      <w:pPr>
        <w:ind w:left="6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6"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6"/>
  </w:num>
  <w:num w:numId="3">
    <w:abstractNumId w:val="4"/>
  </w:num>
  <w:num w:numId="4">
    <w:abstractNumId w:val="22"/>
  </w:num>
  <w:num w:numId="5">
    <w:abstractNumId w:val="28"/>
  </w:num>
  <w:num w:numId="6">
    <w:abstractNumId w:val="8"/>
  </w:num>
  <w:num w:numId="7">
    <w:abstractNumId w:val="26"/>
  </w:num>
  <w:num w:numId="8">
    <w:abstractNumId w:val="10"/>
  </w:num>
  <w:num w:numId="9">
    <w:abstractNumId w:val="19"/>
  </w:num>
  <w:num w:numId="10">
    <w:abstractNumId w:val="11"/>
  </w:num>
  <w:num w:numId="11">
    <w:abstractNumId w:val="18"/>
  </w:num>
  <w:num w:numId="12">
    <w:abstractNumId w:val="21"/>
  </w:num>
  <w:num w:numId="13">
    <w:abstractNumId w:val="24"/>
  </w:num>
  <w:num w:numId="14">
    <w:abstractNumId w:val="15"/>
  </w:num>
  <w:num w:numId="15">
    <w:abstractNumId w:val="1"/>
  </w:num>
  <w:num w:numId="16">
    <w:abstractNumId w:val="27"/>
  </w:num>
  <w:num w:numId="17">
    <w:abstractNumId w:val="17"/>
  </w:num>
  <w:num w:numId="18">
    <w:abstractNumId w:val="16"/>
  </w:num>
  <w:num w:numId="19">
    <w:abstractNumId w:val="9"/>
  </w:num>
  <w:num w:numId="20">
    <w:abstractNumId w:val="3"/>
  </w:num>
  <w:num w:numId="21">
    <w:abstractNumId w:val="13"/>
  </w:num>
  <w:num w:numId="22">
    <w:abstractNumId w:val="7"/>
  </w:num>
  <w:num w:numId="23">
    <w:abstractNumId w:val="25"/>
  </w:num>
  <w:num w:numId="24">
    <w:abstractNumId w:val="14"/>
  </w:num>
  <w:num w:numId="25">
    <w:abstractNumId w:val="0"/>
  </w:num>
  <w:num w:numId="26">
    <w:abstractNumId w:val="5"/>
  </w:num>
  <w:num w:numId="27">
    <w:abstractNumId w:val="23"/>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22BE"/>
    <w:rsid w:val="00004C99"/>
    <w:rsid w:val="00010371"/>
    <w:rsid w:val="00015FC0"/>
    <w:rsid w:val="00017483"/>
    <w:rsid w:val="0002049D"/>
    <w:rsid w:val="00022058"/>
    <w:rsid w:val="000264BB"/>
    <w:rsid w:val="00026A9C"/>
    <w:rsid w:val="00033FC1"/>
    <w:rsid w:val="00042999"/>
    <w:rsid w:val="00050E28"/>
    <w:rsid w:val="0005238D"/>
    <w:rsid w:val="000852A1"/>
    <w:rsid w:val="00085F58"/>
    <w:rsid w:val="000972E6"/>
    <w:rsid w:val="000A0D71"/>
    <w:rsid w:val="000A15B0"/>
    <w:rsid w:val="000A272B"/>
    <w:rsid w:val="000A74A0"/>
    <w:rsid w:val="000C2C4B"/>
    <w:rsid w:val="000C3EBE"/>
    <w:rsid w:val="000C4C48"/>
    <w:rsid w:val="000C5417"/>
    <w:rsid w:val="000D184E"/>
    <w:rsid w:val="000D457D"/>
    <w:rsid w:val="000E01AB"/>
    <w:rsid w:val="000E153C"/>
    <w:rsid w:val="000E3634"/>
    <w:rsid w:val="000E49F0"/>
    <w:rsid w:val="000E6126"/>
    <w:rsid w:val="00100406"/>
    <w:rsid w:val="00107A8A"/>
    <w:rsid w:val="00111788"/>
    <w:rsid w:val="001129DE"/>
    <w:rsid w:val="001134CC"/>
    <w:rsid w:val="00120934"/>
    <w:rsid w:val="00123DB5"/>
    <w:rsid w:val="00125232"/>
    <w:rsid w:val="00127040"/>
    <w:rsid w:val="00131379"/>
    <w:rsid w:val="0013233F"/>
    <w:rsid w:val="00132B9A"/>
    <w:rsid w:val="0013336C"/>
    <w:rsid w:val="001368AE"/>
    <w:rsid w:val="00144CCD"/>
    <w:rsid w:val="0014699B"/>
    <w:rsid w:val="0014739A"/>
    <w:rsid w:val="0015490C"/>
    <w:rsid w:val="001573E2"/>
    <w:rsid w:val="0016278D"/>
    <w:rsid w:val="00164E5D"/>
    <w:rsid w:val="001872CE"/>
    <w:rsid w:val="0019156C"/>
    <w:rsid w:val="001937AD"/>
    <w:rsid w:val="001A2CB2"/>
    <w:rsid w:val="001A3A84"/>
    <w:rsid w:val="001B27CF"/>
    <w:rsid w:val="001B6AEC"/>
    <w:rsid w:val="001D0B84"/>
    <w:rsid w:val="001E5E2A"/>
    <w:rsid w:val="001E6F4C"/>
    <w:rsid w:val="001F16AA"/>
    <w:rsid w:val="001F4431"/>
    <w:rsid w:val="00200F3B"/>
    <w:rsid w:val="00203355"/>
    <w:rsid w:val="0020414E"/>
    <w:rsid w:val="00210AB2"/>
    <w:rsid w:val="00211005"/>
    <w:rsid w:val="0021309A"/>
    <w:rsid w:val="00215CBB"/>
    <w:rsid w:val="00217D41"/>
    <w:rsid w:val="002222A9"/>
    <w:rsid w:val="00222CA6"/>
    <w:rsid w:val="00222CD0"/>
    <w:rsid w:val="00232642"/>
    <w:rsid w:val="00237697"/>
    <w:rsid w:val="002410EA"/>
    <w:rsid w:val="0025019C"/>
    <w:rsid w:val="00250EDB"/>
    <w:rsid w:val="002511DF"/>
    <w:rsid w:val="00253209"/>
    <w:rsid w:val="00256E10"/>
    <w:rsid w:val="00260413"/>
    <w:rsid w:val="00260EBC"/>
    <w:rsid w:val="00264710"/>
    <w:rsid w:val="00264A6E"/>
    <w:rsid w:val="00267567"/>
    <w:rsid w:val="00270B0A"/>
    <w:rsid w:val="00271059"/>
    <w:rsid w:val="00271DC9"/>
    <w:rsid w:val="0027259D"/>
    <w:rsid w:val="002726A1"/>
    <w:rsid w:val="00274564"/>
    <w:rsid w:val="00280121"/>
    <w:rsid w:val="00281FBE"/>
    <w:rsid w:val="00282C9A"/>
    <w:rsid w:val="00290D2E"/>
    <w:rsid w:val="00292715"/>
    <w:rsid w:val="00292F5B"/>
    <w:rsid w:val="002A591C"/>
    <w:rsid w:val="002B2A2D"/>
    <w:rsid w:val="002B52AC"/>
    <w:rsid w:val="002C10E1"/>
    <w:rsid w:val="002C15EB"/>
    <w:rsid w:val="002C1660"/>
    <w:rsid w:val="002C35A2"/>
    <w:rsid w:val="002C5345"/>
    <w:rsid w:val="002D56B7"/>
    <w:rsid w:val="002E04B7"/>
    <w:rsid w:val="002E0BAD"/>
    <w:rsid w:val="002E17FD"/>
    <w:rsid w:val="002F4A14"/>
    <w:rsid w:val="002F4EF8"/>
    <w:rsid w:val="003043BF"/>
    <w:rsid w:val="003065D4"/>
    <w:rsid w:val="00320073"/>
    <w:rsid w:val="00323AF8"/>
    <w:rsid w:val="003262DF"/>
    <w:rsid w:val="00332951"/>
    <w:rsid w:val="00336F7B"/>
    <w:rsid w:val="00337FEF"/>
    <w:rsid w:val="0034555C"/>
    <w:rsid w:val="0034682B"/>
    <w:rsid w:val="003517E3"/>
    <w:rsid w:val="00356237"/>
    <w:rsid w:val="0036288F"/>
    <w:rsid w:val="0036336E"/>
    <w:rsid w:val="00365B10"/>
    <w:rsid w:val="00367BA7"/>
    <w:rsid w:val="00372082"/>
    <w:rsid w:val="003761C0"/>
    <w:rsid w:val="00381140"/>
    <w:rsid w:val="003812B2"/>
    <w:rsid w:val="00383CDB"/>
    <w:rsid w:val="00384EFD"/>
    <w:rsid w:val="0038595A"/>
    <w:rsid w:val="00387214"/>
    <w:rsid w:val="003874D2"/>
    <w:rsid w:val="003879F9"/>
    <w:rsid w:val="003976C7"/>
    <w:rsid w:val="003A035E"/>
    <w:rsid w:val="003A577F"/>
    <w:rsid w:val="003B0285"/>
    <w:rsid w:val="003B3A2C"/>
    <w:rsid w:val="003B5367"/>
    <w:rsid w:val="003C07E3"/>
    <w:rsid w:val="003C659E"/>
    <w:rsid w:val="003D2154"/>
    <w:rsid w:val="003D7780"/>
    <w:rsid w:val="003E13CF"/>
    <w:rsid w:val="003E4F5E"/>
    <w:rsid w:val="003F3582"/>
    <w:rsid w:val="003F35E4"/>
    <w:rsid w:val="003F5344"/>
    <w:rsid w:val="003F7EDC"/>
    <w:rsid w:val="00401F77"/>
    <w:rsid w:val="00404548"/>
    <w:rsid w:val="0041162E"/>
    <w:rsid w:val="004125D8"/>
    <w:rsid w:val="0041382C"/>
    <w:rsid w:val="00416507"/>
    <w:rsid w:val="004200EA"/>
    <w:rsid w:val="0042603B"/>
    <w:rsid w:val="0042786D"/>
    <w:rsid w:val="00433C62"/>
    <w:rsid w:val="00447594"/>
    <w:rsid w:val="004528E1"/>
    <w:rsid w:val="00456F01"/>
    <w:rsid w:val="00466527"/>
    <w:rsid w:val="00472EF5"/>
    <w:rsid w:val="00473A2C"/>
    <w:rsid w:val="00481C27"/>
    <w:rsid w:val="0048687C"/>
    <w:rsid w:val="0049318D"/>
    <w:rsid w:val="004A31B4"/>
    <w:rsid w:val="004A7038"/>
    <w:rsid w:val="004A78BB"/>
    <w:rsid w:val="004B53D1"/>
    <w:rsid w:val="004C1922"/>
    <w:rsid w:val="004C462F"/>
    <w:rsid w:val="004C6613"/>
    <w:rsid w:val="004D49E9"/>
    <w:rsid w:val="004F3663"/>
    <w:rsid w:val="004F45AC"/>
    <w:rsid w:val="00501657"/>
    <w:rsid w:val="00501D6E"/>
    <w:rsid w:val="005068E5"/>
    <w:rsid w:val="00506C46"/>
    <w:rsid w:val="00506C9D"/>
    <w:rsid w:val="005071DA"/>
    <w:rsid w:val="0051495F"/>
    <w:rsid w:val="005238F0"/>
    <w:rsid w:val="00523D82"/>
    <w:rsid w:val="00531F43"/>
    <w:rsid w:val="00540307"/>
    <w:rsid w:val="00541A00"/>
    <w:rsid w:val="00541FEF"/>
    <w:rsid w:val="005444B2"/>
    <w:rsid w:val="00550AAB"/>
    <w:rsid w:val="00552F31"/>
    <w:rsid w:val="00552F8B"/>
    <w:rsid w:val="00561FE7"/>
    <w:rsid w:val="00566737"/>
    <w:rsid w:val="00567153"/>
    <w:rsid w:val="00575348"/>
    <w:rsid w:val="005869C5"/>
    <w:rsid w:val="005921EA"/>
    <w:rsid w:val="005924F5"/>
    <w:rsid w:val="00593F7B"/>
    <w:rsid w:val="005A3C81"/>
    <w:rsid w:val="005A4780"/>
    <w:rsid w:val="005A4B2F"/>
    <w:rsid w:val="005A5680"/>
    <w:rsid w:val="005A6639"/>
    <w:rsid w:val="005A6914"/>
    <w:rsid w:val="005B3FFE"/>
    <w:rsid w:val="005B7B02"/>
    <w:rsid w:val="005C0860"/>
    <w:rsid w:val="005C1519"/>
    <w:rsid w:val="005C1C4E"/>
    <w:rsid w:val="005C4994"/>
    <w:rsid w:val="005C4A16"/>
    <w:rsid w:val="005D66F3"/>
    <w:rsid w:val="005D68C6"/>
    <w:rsid w:val="005D7EE3"/>
    <w:rsid w:val="005E50DE"/>
    <w:rsid w:val="005E7569"/>
    <w:rsid w:val="005E76DA"/>
    <w:rsid w:val="005F7097"/>
    <w:rsid w:val="0060364A"/>
    <w:rsid w:val="00604FC8"/>
    <w:rsid w:val="00617843"/>
    <w:rsid w:val="00620F34"/>
    <w:rsid w:val="00622F46"/>
    <w:rsid w:val="00624C1B"/>
    <w:rsid w:val="00625471"/>
    <w:rsid w:val="0062661D"/>
    <w:rsid w:val="00627853"/>
    <w:rsid w:val="00630499"/>
    <w:rsid w:val="00632571"/>
    <w:rsid w:val="00634D0C"/>
    <w:rsid w:val="0065148D"/>
    <w:rsid w:val="00652BCE"/>
    <w:rsid w:val="00652E29"/>
    <w:rsid w:val="00653617"/>
    <w:rsid w:val="00661A2E"/>
    <w:rsid w:val="00667D74"/>
    <w:rsid w:val="0067136B"/>
    <w:rsid w:val="00691208"/>
    <w:rsid w:val="006938A7"/>
    <w:rsid w:val="00697931"/>
    <w:rsid w:val="006A23C4"/>
    <w:rsid w:val="006A4DC8"/>
    <w:rsid w:val="006A702E"/>
    <w:rsid w:val="006B1751"/>
    <w:rsid w:val="006B7A90"/>
    <w:rsid w:val="006C5F38"/>
    <w:rsid w:val="006C5FFF"/>
    <w:rsid w:val="006D5986"/>
    <w:rsid w:val="006D7D5A"/>
    <w:rsid w:val="006E4305"/>
    <w:rsid w:val="006F249B"/>
    <w:rsid w:val="006F5763"/>
    <w:rsid w:val="00704BAB"/>
    <w:rsid w:val="007104D1"/>
    <w:rsid w:val="007135A6"/>
    <w:rsid w:val="00724DB0"/>
    <w:rsid w:val="00725BD2"/>
    <w:rsid w:val="00726BD3"/>
    <w:rsid w:val="00730461"/>
    <w:rsid w:val="00733A73"/>
    <w:rsid w:val="00733FE5"/>
    <w:rsid w:val="00740E91"/>
    <w:rsid w:val="00746FF2"/>
    <w:rsid w:val="007479AE"/>
    <w:rsid w:val="007502D2"/>
    <w:rsid w:val="007544F0"/>
    <w:rsid w:val="00761133"/>
    <w:rsid w:val="00764767"/>
    <w:rsid w:val="00764E84"/>
    <w:rsid w:val="00766202"/>
    <w:rsid w:val="007762F8"/>
    <w:rsid w:val="00783520"/>
    <w:rsid w:val="0078568D"/>
    <w:rsid w:val="007A02D3"/>
    <w:rsid w:val="007A18B1"/>
    <w:rsid w:val="007B011E"/>
    <w:rsid w:val="007B2892"/>
    <w:rsid w:val="007C055A"/>
    <w:rsid w:val="007C1693"/>
    <w:rsid w:val="007D03EE"/>
    <w:rsid w:val="007D0E84"/>
    <w:rsid w:val="007D681B"/>
    <w:rsid w:val="007E1D85"/>
    <w:rsid w:val="007E5C37"/>
    <w:rsid w:val="007F2282"/>
    <w:rsid w:val="007F50B7"/>
    <w:rsid w:val="007F64FE"/>
    <w:rsid w:val="00803517"/>
    <w:rsid w:val="00804A48"/>
    <w:rsid w:val="008106A7"/>
    <w:rsid w:val="0081154A"/>
    <w:rsid w:val="00814DFC"/>
    <w:rsid w:val="00817C6B"/>
    <w:rsid w:val="00820B36"/>
    <w:rsid w:val="00823A55"/>
    <w:rsid w:val="00827BB2"/>
    <w:rsid w:val="008329DA"/>
    <w:rsid w:val="00832A7E"/>
    <w:rsid w:val="008330E7"/>
    <w:rsid w:val="008353A4"/>
    <w:rsid w:val="008407EF"/>
    <w:rsid w:val="008418F5"/>
    <w:rsid w:val="008451C8"/>
    <w:rsid w:val="00847154"/>
    <w:rsid w:val="008477D1"/>
    <w:rsid w:val="0085157D"/>
    <w:rsid w:val="00862FA8"/>
    <w:rsid w:val="0086657B"/>
    <w:rsid w:val="0087104B"/>
    <w:rsid w:val="008725D5"/>
    <w:rsid w:val="00873FF7"/>
    <w:rsid w:val="00874180"/>
    <w:rsid w:val="008832E5"/>
    <w:rsid w:val="00886CC6"/>
    <w:rsid w:val="008872AB"/>
    <w:rsid w:val="00891EB8"/>
    <w:rsid w:val="0089401D"/>
    <w:rsid w:val="00895628"/>
    <w:rsid w:val="00897669"/>
    <w:rsid w:val="008A4966"/>
    <w:rsid w:val="008B0525"/>
    <w:rsid w:val="008B610D"/>
    <w:rsid w:val="008C0181"/>
    <w:rsid w:val="008C4BF9"/>
    <w:rsid w:val="008C6434"/>
    <w:rsid w:val="008D0B8D"/>
    <w:rsid w:val="008D20BD"/>
    <w:rsid w:val="008D4201"/>
    <w:rsid w:val="008D4451"/>
    <w:rsid w:val="008D62B7"/>
    <w:rsid w:val="008E19AE"/>
    <w:rsid w:val="008E3E5E"/>
    <w:rsid w:val="008E43F1"/>
    <w:rsid w:val="008E6895"/>
    <w:rsid w:val="008F0721"/>
    <w:rsid w:val="00900B3C"/>
    <w:rsid w:val="00904FB5"/>
    <w:rsid w:val="0091136C"/>
    <w:rsid w:val="009128A3"/>
    <w:rsid w:val="00930D7D"/>
    <w:rsid w:val="00944B87"/>
    <w:rsid w:val="0095047E"/>
    <w:rsid w:val="00956101"/>
    <w:rsid w:val="009561FD"/>
    <w:rsid w:val="00957BAF"/>
    <w:rsid w:val="00960590"/>
    <w:rsid w:val="00962CD6"/>
    <w:rsid w:val="00973A41"/>
    <w:rsid w:val="00974EE1"/>
    <w:rsid w:val="0097765C"/>
    <w:rsid w:val="00980ED0"/>
    <w:rsid w:val="00982B83"/>
    <w:rsid w:val="00985916"/>
    <w:rsid w:val="00986783"/>
    <w:rsid w:val="00993A60"/>
    <w:rsid w:val="009B014E"/>
    <w:rsid w:val="009B5F6F"/>
    <w:rsid w:val="009B6CC5"/>
    <w:rsid w:val="009D177A"/>
    <w:rsid w:val="009D67EC"/>
    <w:rsid w:val="009D71D5"/>
    <w:rsid w:val="009E2887"/>
    <w:rsid w:val="009E56D6"/>
    <w:rsid w:val="009E5CB9"/>
    <w:rsid w:val="009F07F5"/>
    <w:rsid w:val="009F0942"/>
    <w:rsid w:val="009F22EA"/>
    <w:rsid w:val="009F2D85"/>
    <w:rsid w:val="009F31F2"/>
    <w:rsid w:val="009F45A5"/>
    <w:rsid w:val="009F5A85"/>
    <w:rsid w:val="009F72B0"/>
    <w:rsid w:val="00A01C2E"/>
    <w:rsid w:val="00A02BB2"/>
    <w:rsid w:val="00A04052"/>
    <w:rsid w:val="00A0709E"/>
    <w:rsid w:val="00A074C5"/>
    <w:rsid w:val="00A07B7D"/>
    <w:rsid w:val="00A12563"/>
    <w:rsid w:val="00A2498C"/>
    <w:rsid w:val="00A24EC8"/>
    <w:rsid w:val="00A26BB4"/>
    <w:rsid w:val="00A300B9"/>
    <w:rsid w:val="00A31019"/>
    <w:rsid w:val="00A31D1C"/>
    <w:rsid w:val="00A53F48"/>
    <w:rsid w:val="00A63448"/>
    <w:rsid w:val="00A64919"/>
    <w:rsid w:val="00A8360A"/>
    <w:rsid w:val="00A84EA1"/>
    <w:rsid w:val="00AA1665"/>
    <w:rsid w:val="00AA4618"/>
    <w:rsid w:val="00AA5E2F"/>
    <w:rsid w:val="00AA7317"/>
    <w:rsid w:val="00AA7D06"/>
    <w:rsid w:val="00AB4120"/>
    <w:rsid w:val="00AC2C0B"/>
    <w:rsid w:val="00AC46EB"/>
    <w:rsid w:val="00AC4905"/>
    <w:rsid w:val="00AC7F63"/>
    <w:rsid w:val="00AD087F"/>
    <w:rsid w:val="00AE7922"/>
    <w:rsid w:val="00AF056B"/>
    <w:rsid w:val="00AF6692"/>
    <w:rsid w:val="00AF721B"/>
    <w:rsid w:val="00B01011"/>
    <w:rsid w:val="00B05BD1"/>
    <w:rsid w:val="00B06759"/>
    <w:rsid w:val="00B10089"/>
    <w:rsid w:val="00B20F0C"/>
    <w:rsid w:val="00B21CF0"/>
    <w:rsid w:val="00B22E50"/>
    <w:rsid w:val="00B46F30"/>
    <w:rsid w:val="00B51D02"/>
    <w:rsid w:val="00B608C1"/>
    <w:rsid w:val="00B60D3D"/>
    <w:rsid w:val="00B61D95"/>
    <w:rsid w:val="00B6462C"/>
    <w:rsid w:val="00B7231F"/>
    <w:rsid w:val="00B77017"/>
    <w:rsid w:val="00B872F3"/>
    <w:rsid w:val="00B90A1E"/>
    <w:rsid w:val="00B91443"/>
    <w:rsid w:val="00B9187F"/>
    <w:rsid w:val="00BA290F"/>
    <w:rsid w:val="00BA2BF3"/>
    <w:rsid w:val="00BB111F"/>
    <w:rsid w:val="00BB272F"/>
    <w:rsid w:val="00BB3050"/>
    <w:rsid w:val="00BB7831"/>
    <w:rsid w:val="00BC31BC"/>
    <w:rsid w:val="00BC55DB"/>
    <w:rsid w:val="00BC6167"/>
    <w:rsid w:val="00BC6A01"/>
    <w:rsid w:val="00BC70B2"/>
    <w:rsid w:val="00BD3717"/>
    <w:rsid w:val="00BE198F"/>
    <w:rsid w:val="00BE4435"/>
    <w:rsid w:val="00BE6B71"/>
    <w:rsid w:val="00C024F8"/>
    <w:rsid w:val="00C06123"/>
    <w:rsid w:val="00C07BB3"/>
    <w:rsid w:val="00C12F16"/>
    <w:rsid w:val="00C13AB9"/>
    <w:rsid w:val="00C153F2"/>
    <w:rsid w:val="00C2000E"/>
    <w:rsid w:val="00C25238"/>
    <w:rsid w:val="00C379C9"/>
    <w:rsid w:val="00C422B8"/>
    <w:rsid w:val="00C473D3"/>
    <w:rsid w:val="00C51BB4"/>
    <w:rsid w:val="00C566D6"/>
    <w:rsid w:val="00C71E57"/>
    <w:rsid w:val="00C764D9"/>
    <w:rsid w:val="00C77910"/>
    <w:rsid w:val="00C839ED"/>
    <w:rsid w:val="00C84299"/>
    <w:rsid w:val="00C86460"/>
    <w:rsid w:val="00C90EC4"/>
    <w:rsid w:val="00C92F14"/>
    <w:rsid w:val="00C937F3"/>
    <w:rsid w:val="00C94B98"/>
    <w:rsid w:val="00C97365"/>
    <w:rsid w:val="00CA4C1A"/>
    <w:rsid w:val="00CB05D5"/>
    <w:rsid w:val="00CB5854"/>
    <w:rsid w:val="00CC08BA"/>
    <w:rsid w:val="00CC330A"/>
    <w:rsid w:val="00CC386C"/>
    <w:rsid w:val="00CC5727"/>
    <w:rsid w:val="00CC7DBD"/>
    <w:rsid w:val="00CD6935"/>
    <w:rsid w:val="00CE03ED"/>
    <w:rsid w:val="00CE7F7F"/>
    <w:rsid w:val="00CF3849"/>
    <w:rsid w:val="00D0233C"/>
    <w:rsid w:val="00D041C3"/>
    <w:rsid w:val="00D11462"/>
    <w:rsid w:val="00D136FE"/>
    <w:rsid w:val="00D14D61"/>
    <w:rsid w:val="00D22A47"/>
    <w:rsid w:val="00D25CB4"/>
    <w:rsid w:val="00D275FC"/>
    <w:rsid w:val="00D3279D"/>
    <w:rsid w:val="00D3441A"/>
    <w:rsid w:val="00D3576E"/>
    <w:rsid w:val="00D43297"/>
    <w:rsid w:val="00D46B0B"/>
    <w:rsid w:val="00D55ED8"/>
    <w:rsid w:val="00D60C5A"/>
    <w:rsid w:val="00D70DB6"/>
    <w:rsid w:val="00D723BC"/>
    <w:rsid w:val="00D76048"/>
    <w:rsid w:val="00D93C80"/>
    <w:rsid w:val="00D9686A"/>
    <w:rsid w:val="00D96A8F"/>
    <w:rsid w:val="00D96EFD"/>
    <w:rsid w:val="00DA16F7"/>
    <w:rsid w:val="00DA39A9"/>
    <w:rsid w:val="00DA76C9"/>
    <w:rsid w:val="00DB406A"/>
    <w:rsid w:val="00DB7FB0"/>
    <w:rsid w:val="00DC4BA7"/>
    <w:rsid w:val="00DD5E3A"/>
    <w:rsid w:val="00DE4FC7"/>
    <w:rsid w:val="00DF11A7"/>
    <w:rsid w:val="00DF3381"/>
    <w:rsid w:val="00DF3970"/>
    <w:rsid w:val="00DF47EB"/>
    <w:rsid w:val="00DF7B1F"/>
    <w:rsid w:val="00E211ED"/>
    <w:rsid w:val="00E271CB"/>
    <w:rsid w:val="00E301D0"/>
    <w:rsid w:val="00E317B2"/>
    <w:rsid w:val="00E33FE3"/>
    <w:rsid w:val="00E34FE3"/>
    <w:rsid w:val="00E55D6C"/>
    <w:rsid w:val="00E57396"/>
    <w:rsid w:val="00E75FFF"/>
    <w:rsid w:val="00E81A1B"/>
    <w:rsid w:val="00E81A86"/>
    <w:rsid w:val="00E85A7A"/>
    <w:rsid w:val="00E8607B"/>
    <w:rsid w:val="00E91073"/>
    <w:rsid w:val="00E93583"/>
    <w:rsid w:val="00EA2F86"/>
    <w:rsid w:val="00EA303C"/>
    <w:rsid w:val="00EA43FC"/>
    <w:rsid w:val="00EA6D39"/>
    <w:rsid w:val="00EB1D97"/>
    <w:rsid w:val="00EB32A3"/>
    <w:rsid w:val="00EB41C1"/>
    <w:rsid w:val="00EC480E"/>
    <w:rsid w:val="00EC4E42"/>
    <w:rsid w:val="00ED1E82"/>
    <w:rsid w:val="00ED4BEF"/>
    <w:rsid w:val="00ED507D"/>
    <w:rsid w:val="00EE04FB"/>
    <w:rsid w:val="00EE1584"/>
    <w:rsid w:val="00EF3F2F"/>
    <w:rsid w:val="00EF4C53"/>
    <w:rsid w:val="00EF56B2"/>
    <w:rsid w:val="00F006F1"/>
    <w:rsid w:val="00F02A03"/>
    <w:rsid w:val="00F03EAF"/>
    <w:rsid w:val="00F05540"/>
    <w:rsid w:val="00F07B7B"/>
    <w:rsid w:val="00F23B95"/>
    <w:rsid w:val="00F27638"/>
    <w:rsid w:val="00F34699"/>
    <w:rsid w:val="00F40388"/>
    <w:rsid w:val="00F42D3C"/>
    <w:rsid w:val="00F455DB"/>
    <w:rsid w:val="00F56F75"/>
    <w:rsid w:val="00F6012B"/>
    <w:rsid w:val="00F60FC5"/>
    <w:rsid w:val="00F63389"/>
    <w:rsid w:val="00F665E0"/>
    <w:rsid w:val="00F77290"/>
    <w:rsid w:val="00F8040D"/>
    <w:rsid w:val="00F91977"/>
    <w:rsid w:val="00F97B57"/>
    <w:rsid w:val="00FA4F7C"/>
    <w:rsid w:val="00FA5BCA"/>
    <w:rsid w:val="00FB0456"/>
    <w:rsid w:val="00FB47F4"/>
    <w:rsid w:val="00FC17F4"/>
    <w:rsid w:val="00FD2B12"/>
    <w:rsid w:val="00FD2B9F"/>
    <w:rsid w:val="00FD2C38"/>
    <w:rsid w:val="00FD2F1A"/>
    <w:rsid w:val="00FD6FA9"/>
    <w:rsid w:val="00FE0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7ECD5"/>
  <w15:docId w15:val="{1FA6A930-79BD-4997-8D75-FBDCAD8E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customStyle="1" w:styleId="TableGrid">
    <w:name w:val="TableGrid"/>
    <w:rsid w:val="00A63448"/>
    <w:rPr>
      <w:rFonts w:eastAsia="Times New Roman"/>
      <w:sz w:val="22"/>
      <w:szCs w:val="22"/>
    </w:rPr>
    <w:tblPr>
      <w:tblCellMar>
        <w:top w:w="0" w:type="dxa"/>
        <w:left w:w="0" w:type="dxa"/>
        <w:bottom w:w="0" w:type="dxa"/>
        <w:right w:w="0" w:type="dxa"/>
      </w:tblCellMar>
    </w:tblPr>
  </w:style>
  <w:style w:type="character" w:styleId="afa">
    <w:name w:val="Strong"/>
    <w:basedOn w:val="a0"/>
    <w:uiPriority w:val="22"/>
    <w:qFormat/>
    <w:rsid w:val="00AF7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481189006">
      <w:bodyDiv w:val="1"/>
      <w:marLeft w:val="0"/>
      <w:marRight w:val="0"/>
      <w:marTop w:val="0"/>
      <w:marBottom w:val="0"/>
      <w:divBdr>
        <w:top w:val="none" w:sz="0" w:space="0" w:color="auto"/>
        <w:left w:val="none" w:sz="0" w:space="0" w:color="auto"/>
        <w:bottom w:val="none" w:sz="0" w:space="0" w:color="auto"/>
        <w:right w:val="none" w:sz="0" w:space="0" w:color="auto"/>
      </w:divBdr>
    </w:div>
    <w:div w:id="1754231813">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1BDD3-0582-4030-ADD7-1C0E25FE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22</Pages>
  <Words>8967</Words>
  <Characters>51113</Characters>
  <Application>Microsoft Office Word</Application>
  <DocSecurity>0</DocSecurity>
  <Lines>425</Lines>
  <Paragraphs>119</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59961</CharactersWithSpaces>
  <SharedDoc>false</SharedDoc>
  <HLinks>
    <vt:vector size="6" baseType="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19</cp:revision>
  <cp:lastPrinted>2019-11-18T06:17:00Z</cp:lastPrinted>
  <dcterms:created xsi:type="dcterms:W3CDTF">2021-03-12T12:19:00Z</dcterms:created>
  <dcterms:modified xsi:type="dcterms:W3CDTF">2025-07-31T08:06:00Z</dcterms:modified>
</cp:coreProperties>
</file>